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B2BB9">
      <w:pPr>
        <w:keepNext/>
        <w:keepLines/>
        <w:pageBreakBefore w:val="0"/>
        <w:kinsoku/>
        <w:wordWrap/>
        <w:overflowPunct/>
        <w:topLinePunct w:val="0"/>
        <w:autoSpaceDE/>
        <w:autoSpaceDN/>
        <w:bidi w:val="0"/>
        <w:jc w:val="center"/>
        <w:textAlignment w:val="auto"/>
        <w:outlineLvl w:val="0"/>
        <w:rPr>
          <w:rFonts w:ascii="黑体" w:hAnsi="黑体" w:eastAsia="黑体" w:cs="Times New Roman"/>
          <w:b/>
          <w:bCs/>
          <w:kern w:val="44"/>
          <w:sz w:val="32"/>
          <w:szCs w:val="32"/>
        </w:rPr>
      </w:pPr>
      <w:r>
        <w:rPr>
          <w:rFonts w:hint="eastAsia" w:ascii="黑体" w:hAnsi="黑体" w:eastAsia="黑体" w:cs="Times New Roman"/>
          <w:b/>
          <w:bCs/>
          <w:kern w:val="44"/>
          <w:sz w:val="32"/>
          <w:szCs w:val="32"/>
        </w:rPr>
        <w:t>朝鲜互换奖学金</w:t>
      </w:r>
    </w:p>
    <w:p w14:paraId="32ED64F7">
      <w:pPr>
        <w:pageBreakBefore w:val="0"/>
        <w:kinsoku/>
        <w:wordWrap/>
        <w:overflowPunct/>
        <w:topLinePunct w:val="0"/>
        <w:autoSpaceDE/>
        <w:autoSpaceDN/>
        <w:bidi w:val="0"/>
        <w:ind w:firstLine="482" w:firstLineChars="200"/>
        <w:textAlignment w:val="auto"/>
        <w:rPr>
          <w:rFonts w:ascii="黑体" w:hAnsi="黑体" w:eastAsia="黑体" w:cs="Arial"/>
          <w:b/>
          <w:kern w:val="0"/>
          <w:sz w:val="24"/>
          <w:szCs w:val="24"/>
        </w:rPr>
      </w:pPr>
    </w:p>
    <w:p w14:paraId="21FBA7E8">
      <w:pPr>
        <w:keepNext w:val="0"/>
        <w:keepLines w:val="0"/>
        <w:pageBreakBefore w:val="0"/>
        <w:kinsoku/>
        <w:wordWrap/>
        <w:overflowPunct/>
        <w:topLinePunct w:val="0"/>
        <w:autoSpaceDE/>
        <w:autoSpaceDN/>
        <w:bidi w:val="0"/>
        <w:ind w:firstLine="482" w:firstLineChars="200"/>
        <w:textAlignment w:val="auto"/>
        <w:rPr>
          <w:rFonts w:ascii="黑体" w:hAnsi="黑体" w:eastAsia="黑体" w:cs="Arial"/>
          <w:b/>
          <w:kern w:val="0"/>
          <w:sz w:val="24"/>
          <w:szCs w:val="24"/>
        </w:rPr>
      </w:pPr>
      <w:r>
        <w:rPr>
          <w:rFonts w:hint="eastAsia" w:ascii="黑体" w:hAnsi="黑体" w:eastAsia="黑体" w:cs="Arial"/>
          <w:b/>
          <w:kern w:val="0"/>
          <w:sz w:val="24"/>
          <w:szCs w:val="24"/>
        </w:rPr>
        <w:t>一、</w:t>
      </w:r>
      <w:r>
        <w:rPr>
          <w:rFonts w:hint="eastAsia" w:ascii="黑体" w:hAnsi="黑体" w:eastAsia="黑体" w:cs="Arial"/>
          <w:b/>
          <w:kern w:val="0"/>
          <w:sz w:val="24"/>
          <w:szCs w:val="24"/>
          <w:lang w:eastAsia="zh-CN"/>
        </w:rPr>
        <w:t>项目</w:t>
      </w:r>
      <w:r>
        <w:rPr>
          <w:rFonts w:hint="eastAsia" w:ascii="黑体" w:hAnsi="黑体" w:eastAsia="黑体" w:cs="Arial"/>
          <w:b/>
          <w:kern w:val="0"/>
          <w:sz w:val="24"/>
          <w:szCs w:val="24"/>
        </w:rPr>
        <w:t>简介</w:t>
      </w:r>
    </w:p>
    <w:p w14:paraId="36C81911">
      <w:pPr>
        <w:keepNext w:val="0"/>
        <w:keepLines w:val="0"/>
        <w:pageBreakBefore w:val="0"/>
        <w:kinsoku/>
        <w:wordWrap/>
        <w:overflowPunct/>
        <w:topLinePunct w:val="0"/>
        <w:autoSpaceDE/>
        <w:autoSpaceDN/>
        <w:bidi w:val="0"/>
        <w:ind w:firstLine="480" w:firstLineChars="200"/>
        <w:textAlignment w:val="auto"/>
        <w:rPr>
          <w:rFonts w:ascii="黑体" w:hAnsi="黑体" w:eastAsia="黑体"/>
          <w:sz w:val="24"/>
          <w:szCs w:val="24"/>
        </w:rPr>
      </w:pPr>
      <w:r>
        <w:rPr>
          <w:rFonts w:hint="eastAsia" w:ascii="黑体" w:hAnsi="黑体" w:eastAsia="黑体"/>
          <w:sz w:val="24"/>
          <w:szCs w:val="24"/>
        </w:rPr>
        <w:t>根据中国与朝鲜互换奖学金交流计划，双方每年互换奖学金留学人员前往对方国学习或研修。</w:t>
      </w:r>
    </w:p>
    <w:p w14:paraId="6E5C78AC">
      <w:pPr>
        <w:keepNext w:val="0"/>
        <w:keepLines w:val="0"/>
        <w:pageBreakBefore w:val="0"/>
        <w:widowControl/>
        <w:kinsoku/>
        <w:wordWrap/>
        <w:overflowPunct/>
        <w:topLinePunct w:val="0"/>
        <w:autoSpaceDE/>
        <w:autoSpaceDN/>
        <w:bidi w:val="0"/>
        <w:adjustRightInd w:val="0"/>
        <w:ind w:firstLine="482" w:firstLineChars="200"/>
        <w:textAlignment w:val="auto"/>
        <w:rPr>
          <w:rFonts w:ascii="黑体" w:hAnsi="黑体" w:eastAsia="黑体" w:cs="黑体"/>
          <w:b/>
          <w:bCs/>
          <w:kern w:val="0"/>
          <w:sz w:val="24"/>
          <w:szCs w:val="24"/>
        </w:rPr>
      </w:pPr>
      <w:r>
        <w:rPr>
          <w:rFonts w:hint="eastAsia" w:ascii="黑体" w:hAnsi="黑体" w:eastAsia="黑体" w:cs="黑体"/>
          <w:b/>
          <w:bCs/>
          <w:kern w:val="0"/>
          <w:sz w:val="24"/>
          <w:szCs w:val="24"/>
        </w:rPr>
        <w:t>二、协议内容</w:t>
      </w:r>
    </w:p>
    <w:p w14:paraId="353B90D6">
      <w:pPr>
        <w:pStyle w:val="5"/>
        <w:keepNext w:val="0"/>
        <w:keepLines w:val="0"/>
        <w:pageBreakBefore w:val="0"/>
        <w:kinsoku/>
        <w:wordWrap/>
        <w:overflowPunct/>
        <w:topLinePunct w:val="0"/>
        <w:autoSpaceDE/>
        <w:autoSpaceDN/>
        <w:bidi w:val="0"/>
        <w:adjustRightInd w:val="0"/>
        <w:spacing w:before="0" w:after="0"/>
        <w:ind w:firstLineChars="200"/>
        <w:jc w:val="both"/>
        <w:textAlignment w:val="auto"/>
        <w:rPr>
          <w:rFonts w:ascii="黑体" w:hAnsi="黑体" w:eastAsia="黑体" w:cs="Times New Roman"/>
          <w:bCs/>
        </w:rPr>
      </w:pPr>
      <w:r>
        <w:rPr>
          <w:rFonts w:hint="eastAsia" w:ascii="黑体" w:hAnsi="黑体" w:eastAsia="黑体" w:cs="黑体"/>
          <w:bCs/>
          <w:lang w:val="en-US" w:eastAsia="zh-CN"/>
        </w:rPr>
        <w:t>1.</w:t>
      </w:r>
      <w:r>
        <w:rPr>
          <w:rFonts w:hint="eastAsia" w:ascii="黑体" w:hAnsi="黑体" w:eastAsia="黑体" w:cs="黑体"/>
          <w:bCs/>
        </w:rPr>
        <w:t>协议名额</w:t>
      </w:r>
    </w:p>
    <w:p w14:paraId="3D0B9EF1">
      <w:pPr>
        <w:keepNext w:val="0"/>
        <w:keepLines w:val="0"/>
        <w:pageBreakBefore w:val="0"/>
        <w:widowControl/>
        <w:kinsoku/>
        <w:wordWrap/>
        <w:overflowPunct/>
        <w:topLinePunct w:val="0"/>
        <w:autoSpaceDE/>
        <w:autoSpaceDN/>
        <w:bidi w:val="0"/>
        <w:adjustRightInd w:val="0"/>
        <w:ind w:firstLine="480" w:firstLineChars="200"/>
        <w:textAlignment w:val="auto"/>
        <w:rPr>
          <w:rFonts w:ascii="黑体" w:hAnsi="黑体" w:eastAsia="黑体" w:cs="宋体"/>
          <w:kern w:val="0"/>
          <w:sz w:val="24"/>
          <w:szCs w:val="24"/>
        </w:rPr>
      </w:pPr>
      <w:r>
        <w:rPr>
          <w:rFonts w:ascii="黑体" w:hAnsi="黑体" w:eastAsia="黑体" w:cs="宋体"/>
          <w:kern w:val="0"/>
          <w:sz w:val="24"/>
          <w:szCs w:val="24"/>
        </w:rPr>
        <w:t>100</w:t>
      </w:r>
      <w:r>
        <w:rPr>
          <w:rFonts w:hint="eastAsia" w:ascii="黑体" w:hAnsi="黑体" w:eastAsia="黑体" w:cs="宋体"/>
          <w:kern w:val="0"/>
          <w:sz w:val="24"/>
          <w:szCs w:val="24"/>
        </w:rPr>
        <w:t>人</w:t>
      </w:r>
      <w:r>
        <w:rPr>
          <w:rFonts w:ascii="黑体" w:hAnsi="黑体" w:eastAsia="黑体" w:cs="宋体"/>
          <w:kern w:val="0"/>
          <w:sz w:val="24"/>
          <w:szCs w:val="24"/>
        </w:rPr>
        <w:t>/</w:t>
      </w:r>
      <w:r>
        <w:rPr>
          <w:rFonts w:hint="eastAsia" w:ascii="黑体" w:hAnsi="黑体" w:eastAsia="黑体" w:cs="宋体"/>
          <w:kern w:val="0"/>
          <w:sz w:val="24"/>
          <w:szCs w:val="24"/>
        </w:rPr>
        <w:t>年</w:t>
      </w:r>
    </w:p>
    <w:p w14:paraId="6771F837">
      <w:pPr>
        <w:keepNext w:val="0"/>
        <w:keepLines w:val="0"/>
        <w:pageBreakBefore w:val="0"/>
        <w:widowControl/>
        <w:kinsoku/>
        <w:wordWrap/>
        <w:overflowPunct/>
        <w:topLinePunct w:val="0"/>
        <w:autoSpaceDE/>
        <w:autoSpaceDN/>
        <w:bidi w:val="0"/>
        <w:adjustRightInd w:val="0"/>
        <w:ind w:firstLine="480" w:firstLineChars="200"/>
        <w:textAlignment w:val="auto"/>
        <w:rPr>
          <w:rFonts w:ascii="黑体" w:hAnsi="黑体" w:eastAsia="黑体" w:cs="Times New Roman"/>
          <w:kern w:val="0"/>
          <w:sz w:val="24"/>
          <w:szCs w:val="24"/>
        </w:rPr>
      </w:pPr>
      <w:r>
        <w:rPr>
          <w:rFonts w:hint="eastAsia" w:ascii="黑体" w:hAnsi="黑体" w:eastAsia="黑体" w:cs="宋体"/>
          <w:kern w:val="0"/>
          <w:sz w:val="24"/>
          <w:szCs w:val="24"/>
        </w:rPr>
        <w:t>2.</w:t>
      </w:r>
      <w:r>
        <w:rPr>
          <w:rFonts w:hint="eastAsia" w:ascii="黑体" w:hAnsi="黑体" w:eastAsia="黑体" w:cs="黑体"/>
          <w:bCs/>
          <w:sz w:val="24"/>
          <w:szCs w:val="24"/>
        </w:rPr>
        <w:t>选派类别及留学期限</w:t>
      </w:r>
    </w:p>
    <w:p w14:paraId="2396C25D">
      <w:pPr>
        <w:keepNext w:val="0"/>
        <w:keepLines w:val="0"/>
        <w:pageBreakBefore w:val="0"/>
        <w:widowControl/>
        <w:kinsoku/>
        <w:wordWrap/>
        <w:overflowPunct/>
        <w:topLinePunct w:val="0"/>
        <w:autoSpaceDE/>
        <w:autoSpaceDN/>
        <w:bidi w:val="0"/>
        <w:adjustRightInd w:val="0"/>
        <w:ind w:firstLine="480" w:firstLineChars="200"/>
        <w:textAlignment w:val="auto"/>
        <w:rPr>
          <w:rFonts w:ascii="黑体" w:hAnsi="黑体" w:eastAsia="黑体" w:cs="宋体"/>
          <w:kern w:val="0"/>
          <w:sz w:val="24"/>
          <w:szCs w:val="24"/>
        </w:rPr>
      </w:pPr>
      <w:r>
        <w:rPr>
          <w:rFonts w:hint="eastAsia" w:ascii="黑体" w:hAnsi="黑体" w:eastAsia="黑体" w:cs="宋体"/>
          <w:kern w:val="0"/>
          <w:sz w:val="24"/>
          <w:szCs w:val="24"/>
        </w:rPr>
        <w:t>本科插班生：</w:t>
      </w:r>
      <w:r>
        <w:rPr>
          <w:rFonts w:ascii="黑体" w:hAnsi="黑体" w:eastAsia="黑体" w:cs="宋体"/>
          <w:kern w:val="0"/>
          <w:sz w:val="24"/>
          <w:szCs w:val="24"/>
        </w:rPr>
        <w:t>7</w:t>
      </w:r>
      <w:r>
        <w:rPr>
          <w:rFonts w:hint="eastAsia" w:ascii="黑体" w:hAnsi="黑体" w:eastAsia="黑体" w:cs="宋体"/>
          <w:kern w:val="0"/>
          <w:sz w:val="24"/>
          <w:szCs w:val="24"/>
        </w:rPr>
        <w:t>个月</w:t>
      </w:r>
    </w:p>
    <w:p w14:paraId="697795DC">
      <w:pPr>
        <w:keepNext w:val="0"/>
        <w:keepLines w:val="0"/>
        <w:pageBreakBefore w:val="0"/>
        <w:widowControl/>
        <w:kinsoku/>
        <w:wordWrap/>
        <w:overflowPunct/>
        <w:topLinePunct w:val="0"/>
        <w:autoSpaceDE/>
        <w:autoSpaceDN/>
        <w:bidi w:val="0"/>
        <w:adjustRightInd w:val="0"/>
        <w:ind w:firstLine="480" w:firstLineChars="200"/>
        <w:textAlignment w:val="auto"/>
        <w:rPr>
          <w:rFonts w:ascii="黑体" w:hAnsi="黑体" w:eastAsia="黑体" w:cs="Times New Roman"/>
          <w:sz w:val="24"/>
          <w:szCs w:val="24"/>
        </w:rPr>
      </w:pPr>
      <w:r>
        <w:rPr>
          <w:rFonts w:hint="eastAsia" w:ascii="黑体" w:hAnsi="黑体" w:eastAsia="黑体" w:cs="宋体"/>
          <w:kern w:val="0"/>
          <w:sz w:val="24"/>
          <w:szCs w:val="24"/>
        </w:rPr>
        <w:t>3.</w:t>
      </w:r>
      <w:r>
        <w:rPr>
          <w:rFonts w:hint="eastAsia" w:ascii="黑体" w:hAnsi="黑体" w:eastAsia="黑体" w:cs="黑体"/>
          <w:bCs/>
          <w:sz w:val="24"/>
          <w:szCs w:val="24"/>
        </w:rPr>
        <w:t>选派专业</w:t>
      </w:r>
    </w:p>
    <w:p w14:paraId="6757EAEE">
      <w:pPr>
        <w:keepNext w:val="0"/>
        <w:keepLines w:val="0"/>
        <w:pageBreakBefore w:val="0"/>
        <w:widowControl/>
        <w:kinsoku/>
        <w:wordWrap/>
        <w:overflowPunct/>
        <w:topLinePunct w:val="0"/>
        <w:autoSpaceDE/>
        <w:autoSpaceDN/>
        <w:bidi w:val="0"/>
        <w:adjustRightInd w:val="0"/>
        <w:ind w:firstLine="480" w:firstLineChars="200"/>
        <w:textAlignment w:val="auto"/>
        <w:rPr>
          <w:rFonts w:ascii="黑体" w:hAnsi="黑体" w:eastAsia="黑体" w:cs="Times New Roman"/>
          <w:kern w:val="0"/>
          <w:sz w:val="24"/>
          <w:szCs w:val="24"/>
        </w:rPr>
      </w:pPr>
      <w:r>
        <w:rPr>
          <w:rFonts w:hint="eastAsia" w:ascii="黑体" w:hAnsi="黑体" w:eastAsia="黑体" w:cs="宋体"/>
          <w:kern w:val="0"/>
          <w:sz w:val="24"/>
          <w:szCs w:val="24"/>
        </w:rPr>
        <w:t>朝鲜语专业</w:t>
      </w:r>
    </w:p>
    <w:p w14:paraId="71EE186D">
      <w:pPr>
        <w:keepNext w:val="0"/>
        <w:keepLines w:val="0"/>
        <w:pageBreakBefore w:val="0"/>
        <w:kinsoku/>
        <w:wordWrap/>
        <w:overflowPunct/>
        <w:topLinePunct w:val="0"/>
        <w:autoSpaceDE/>
        <w:autoSpaceDN/>
        <w:bidi w:val="0"/>
        <w:ind w:firstLine="480" w:firstLineChars="200"/>
        <w:textAlignment w:val="auto"/>
        <w:rPr>
          <w:rFonts w:ascii="黑体" w:hAnsi="黑体" w:eastAsia="黑体"/>
          <w:sz w:val="24"/>
          <w:szCs w:val="24"/>
        </w:rPr>
      </w:pPr>
      <w:r>
        <w:rPr>
          <w:rFonts w:ascii="黑体" w:hAnsi="黑体" w:eastAsia="黑体"/>
          <w:sz w:val="24"/>
          <w:szCs w:val="24"/>
        </w:rPr>
        <w:t>4.</w:t>
      </w:r>
      <w:r>
        <w:rPr>
          <w:rFonts w:hint="eastAsia" w:ascii="黑体" w:hAnsi="黑体" w:eastAsia="黑体"/>
          <w:sz w:val="24"/>
          <w:szCs w:val="24"/>
        </w:rPr>
        <w:t>资助内容</w:t>
      </w:r>
    </w:p>
    <w:p w14:paraId="7D3F9AFA">
      <w:pPr>
        <w:keepNext w:val="0"/>
        <w:keepLines w:val="0"/>
        <w:pageBreakBefore w:val="0"/>
        <w:kinsoku/>
        <w:wordWrap/>
        <w:overflowPunct/>
        <w:topLinePunct w:val="0"/>
        <w:autoSpaceDE/>
        <w:autoSpaceDN/>
        <w:bidi w:val="0"/>
        <w:ind w:firstLine="480" w:firstLineChars="200"/>
        <w:textAlignment w:val="auto"/>
        <w:rPr>
          <w:rFonts w:ascii="黑体" w:hAnsi="黑体" w:eastAsia="黑体"/>
          <w:sz w:val="24"/>
          <w:szCs w:val="24"/>
        </w:rPr>
      </w:pPr>
      <w:r>
        <w:rPr>
          <w:rFonts w:hint="eastAsia" w:ascii="黑体" w:hAnsi="黑体" w:eastAsia="黑体"/>
          <w:sz w:val="24"/>
          <w:szCs w:val="24"/>
        </w:rPr>
        <w:t>留学期间享受朝方提供的奖学金，国家留学基金提供互换奖学金出国留学人员补贴及一次往返国际旅费。</w:t>
      </w:r>
    </w:p>
    <w:p w14:paraId="6B040BBC">
      <w:pPr>
        <w:keepNext w:val="0"/>
        <w:keepLines w:val="0"/>
        <w:pageBreakBefore w:val="0"/>
        <w:kinsoku/>
        <w:wordWrap/>
        <w:overflowPunct/>
        <w:topLinePunct w:val="0"/>
        <w:autoSpaceDE/>
        <w:autoSpaceDN/>
        <w:bidi w:val="0"/>
        <w:adjustRightInd w:val="0"/>
        <w:ind w:firstLine="482" w:firstLineChars="200"/>
        <w:textAlignment w:val="auto"/>
        <w:rPr>
          <w:rFonts w:ascii="黑体" w:hAnsi="黑体" w:eastAsia="黑体" w:cs="Arial"/>
          <w:b/>
          <w:bCs/>
          <w:kern w:val="0"/>
          <w:sz w:val="24"/>
          <w:szCs w:val="24"/>
        </w:rPr>
      </w:pPr>
      <w:r>
        <w:rPr>
          <w:rFonts w:hint="eastAsia" w:ascii="黑体" w:hAnsi="黑体" w:eastAsia="黑体" w:cs="Arial"/>
          <w:b/>
          <w:bCs/>
          <w:kern w:val="0"/>
          <w:sz w:val="24"/>
          <w:szCs w:val="24"/>
        </w:rPr>
        <w:t>三、申请条件</w:t>
      </w:r>
    </w:p>
    <w:p w14:paraId="179AD664">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1.符合当年《国家留学基金资助出国留学人员选派指南》规定的申请条件。</w:t>
      </w:r>
    </w:p>
    <w:p w14:paraId="02EEB062">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2.拥护中国共产党的领导和中国特色社会主义制度，热爱祖国、品德良好、遵纪守法，具有服务国家、服务社会、服务人民的责任感和端正的世界观、人生观、价值观。</w:t>
      </w:r>
    </w:p>
    <w:p w14:paraId="4D3AFE33">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3.具有良好专业基础和发展潜力，恪守学术道德、遵守学术规范，在工作、学习中表现突出，具有学成回国为国家建设服务的事业心和使命感。</w:t>
      </w:r>
    </w:p>
    <w:p w14:paraId="755F503C">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4.具有中华人民共和国国籍，不具有国外永久居留权。</w:t>
      </w:r>
    </w:p>
    <w:p w14:paraId="188E3A0D">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5.身体健康，心理健康。</w:t>
      </w:r>
    </w:p>
    <w:p w14:paraId="6B792B9A">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6.申请时年龄满18周岁（200</w:t>
      </w:r>
      <w:r>
        <w:rPr>
          <w:rFonts w:hint="eastAsia" w:ascii="黑体" w:hAnsi="黑体" w:eastAsia="黑体"/>
          <w:sz w:val="24"/>
          <w:szCs w:val="24"/>
          <w:lang w:val="en-US" w:eastAsia="zh-CN"/>
        </w:rPr>
        <w:t>8</w:t>
      </w:r>
      <w:r>
        <w:rPr>
          <w:rFonts w:hint="eastAsia" w:ascii="黑体" w:hAnsi="黑体" w:eastAsia="黑体"/>
          <w:sz w:val="24"/>
          <w:szCs w:val="24"/>
        </w:rPr>
        <w:t>年1月1日以前出生），应就读于国内普通高校朝鲜语/韩国语专业四年制本科，申报时需为大一至大三年级学生（派出时为大二至大四学生）；录取时优先考虑申报时为大二年级的学生。</w:t>
      </w:r>
    </w:p>
    <w:p w14:paraId="40C10184">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7.品学兼优，无不及格科目，积极参加社会实践和公益活动。</w:t>
      </w:r>
    </w:p>
    <w:p w14:paraId="60028986">
      <w:pPr>
        <w:keepNext w:val="0"/>
        <w:keepLines w:val="0"/>
        <w:pageBreakBefore w:val="0"/>
        <w:kinsoku/>
        <w:wordWrap/>
        <w:overflowPunct/>
        <w:topLinePunct w:val="0"/>
        <w:autoSpaceDE/>
        <w:autoSpaceDN/>
        <w:bidi w:val="0"/>
        <w:adjustRightInd w:val="0"/>
        <w:ind w:firstLine="482" w:firstLineChars="200"/>
        <w:textAlignment w:val="auto"/>
        <w:rPr>
          <w:rFonts w:ascii="黑体" w:hAnsi="黑体" w:eastAsia="黑体" w:cs="Arial"/>
          <w:b/>
          <w:bCs/>
          <w:kern w:val="0"/>
          <w:sz w:val="24"/>
          <w:szCs w:val="24"/>
        </w:rPr>
      </w:pPr>
      <w:r>
        <w:rPr>
          <w:rFonts w:hint="eastAsia" w:ascii="黑体" w:hAnsi="黑体" w:eastAsia="黑体" w:cs="Arial"/>
          <w:b/>
          <w:bCs/>
          <w:kern w:val="0"/>
          <w:sz w:val="24"/>
          <w:szCs w:val="24"/>
        </w:rPr>
        <w:t>四、选拔办法</w:t>
      </w:r>
    </w:p>
    <w:p w14:paraId="0B2BE65D">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1．申请时间及方式</w:t>
      </w:r>
    </w:p>
    <w:p w14:paraId="163989F3">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申请人经所在单位审核同意后，</w:t>
      </w:r>
      <w:r>
        <w:rPr>
          <w:rFonts w:hint="eastAsia" w:ascii="黑体" w:hAnsi="黑体" w:eastAsia="黑体" w:cs="黑体"/>
          <w:bCs/>
          <w:kern w:val="0"/>
          <w:sz w:val="24"/>
        </w:rPr>
        <w:t>按“信息平台应提交的申请材料及说明”及“应提交的对外联系材料及说明”要求准备对外联系材料，</w:t>
      </w:r>
      <w:r>
        <w:rPr>
          <w:rFonts w:hint="eastAsia" w:ascii="黑体" w:hAnsi="黑体" w:eastAsia="黑体"/>
          <w:sz w:val="24"/>
          <w:szCs w:val="24"/>
        </w:rPr>
        <w:t>于202</w:t>
      </w:r>
      <w:r>
        <w:rPr>
          <w:rFonts w:hint="eastAsia" w:ascii="黑体" w:hAnsi="黑体" w:eastAsia="黑体"/>
          <w:sz w:val="24"/>
          <w:szCs w:val="24"/>
          <w:lang w:val="en-US" w:eastAsia="zh-CN"/>
        </w:rPr>
        <w:t>5</w:t>
      </w:r>
      <w:r>
        <w:rPr>
          <w:rFonts w:hint="eastAsia" w:ascii="黑体" w:hAnsi="黑体" w:eastAsia="黑体"/>
          <w:sz w:val="24"/>
          <w:szCs w:val="24"/>
        </w:rPr>
        <w:t>年12月</w:t>
      </w:r>
      <w:r>
        <w:rPr>
          <w:rFonts w:hint="eastAsia" w:ascii="黑体" w:hAnsi="黑体" w:eastAsia="黑体"/>
          <w:sz w:val="24"/>
          <w:szCs w:val="24"/>
          <w:lang w:val="en-US" w:eastAsia="zh-CN"/>
        </w:rPr>
        <w:t>12</w:t>
      </w:r>
      <w:r>
        <w:rPr>
          <w:rFonts w:hint="eastAsia" w:ascii="黑体" w:hAnsi="黑体" w:eastAsia="黑体"/>
          <w:sz w:val="24"/>
          <w:szCs w:val="24"/>
        </w:rPr>
        <w:t>日</w:t>
      </w:r>
      <w:r>
        <w:rPr>
          <w:rFonts w:hint="eastAsia" w:ascii="黑体" w:hAnsi="黑体" w:eastAsia="黑体"/>
          <w:sz w:val="24"/>
          <w:szCs w:val="24"/>
          <w:lang w:val="en-US" w:eastAsia="zh-CN"/>
        </w:rPr>
        <w:t>0时至</w:t>
      </w:r>
      <w:r>
        <w:rPr>
          <w:rFonts w:hint="eastAsia" w:ascii="黑体" w:hAnsi="黑体" w:eastAsia="黑体"/>
          <w:sz w:val="24"/>
          <w:szCs w:val="24"/>
        </w:rPr>
        <w:t>1</w:t>
      </w:r>
      <w:r>
        <w:rPr>
          <w:rFonts w:hint="eastAsia" w:ascii="黑体" w:hAnsi="黑体" w:eastAsia="黑体"/>
          <w:sz w:val="24"/>
          <w:szCs w:val="24"/>
          <w:lang w:val="en-US" w:eastAsia="zh-CN"/>
        </w:rPr>
        <w:t>2</w:t>
      </w:r>
      <w:r>
        <w:rPr>
          <w:rFonts w:hint="eastAsia" w:ascii="黑体" w:hAnsi="黑体" w:eastAsia="黑体"/>
          <w:sz w:val="24"/>
          <w:szCs w:val="24"/>
        </w:rPr>
        <w:t>月</w:t>
      </w:r>
      <w:r>
        <w:rPr>
          <w:rFonts w:hint="eastAsia" w:ascii="黑体" w:hAnsi="黑体" w:eastAsia="黑体"/>
          <w:sz w:val="24"/>
          <w:szCs w:val="24"/>
          <w:lang w:val="en-US" w:eastAsia="zh-CN"/>
        </w:rPr>
        <w:t>19</w:t>
      </w:r>
      <w:r>
        <w:rPr>
          <w:rFonts w:hint="eastAsia" w:ascii="黑体" w:hAnsi="黑体" w:eastAsia="黑体"/>
          <w:sz w:val="24"/>
          <w:szCs w:val="24"/>
        </w:rPr>
        <w:t>日</w:t>
      </w:r>
      <w:r>
        <w:rPr>
          <w:rFonts w:hint="eastAsia" w:ascii="黑体" w:hAnsi="黑体" w:eastAsia="黑体"/>
          <w:sz w:val="24"/>
          <w:szCs w:val="24"/>
          <w:lang w:val="en-US" w:eastAsia="zh-CN"/>
        </w:rPr>
        <w:t>14时</w:t>
      </w:r>
      <w:r>
        <w:rPr>
          <w:rFonts w:hint="eastAsia" w:ascii="黑体" w:hAnsi="黑体" w:eastAsia="黑体"/>
          <w:sz w:val="24"/>
          <w:szCs w:val="24"/>
        </w:rPr>
        <w:t>登陆国家公派留学管理信息平台</w:t>
      </w:r>
      <w:r>
        <w:rPr>
          <w:rFonts w:hint="eastAsia" w:ascii="黑体" w:hAnsi="黑体" w:eastAsia="黑体"/>
          <w:kern w:val="0"/>
          <w:sz w:val="24"/>
          <w:szCs w:val="24"/>
        </w:rPr>
        <w:t>（</w:t>
      </w:r>
      <w:r>
        <w:rPr>
          <w:rFonts w:hint="eastAsia" w:ascii="黑体" w:hAnsi="黑体" w:eastAsia="黑体"/>
          <w:color w:val="auto"/>
          <w:kern w:val="0"/>
          <w:sz w:val="24"/>
          <w:szCs w:val="24"/>
          <w:u w:val="none"/>
        </w:rPr>
        <w:t>http://sa.csc.edu.cn</w:t>
      </w:r>
      <w:r>
        <w:rPr>
          <w:rFonts w:hint="eastAsia" w:ascii="黑体" w:hAnsi="黑体" w:eastAsia="黑体"/>
          <w:kern w:val="0"/>
          <w:sz w:val="24"/>
          <w:szCs w:val="24"/>
        </w:rPr>
        <w:t>）</w:t>
      </w:r>
      <w:r>
        <w:rPr>
          <w:rFonts w:hint="eastAsia" w:ascii="黑体" w:hAnsi="黑体" w:eastAsia="黑体"/>
          <w:sz w:val="24"/>
          <w:szCs w:val="24"/>
        </w:rPr>
        <w:t>进行网上报名，并向国家留学基金申请受理单位（以下简称受理单位）提交申请材料。</w:t>
      </w:r>
    </w:p>
    <w:p w14:paraId="07F0416F">
      <w:pPr>
        <w:keepNext w:val="0"/>
        <w:keepLines w:val="0"/>
        <w:pageBreakBefore w:val="0"/>
        <w:kinsoku/>
        <w:wordWrap/>
        <w:overflowPunct/>
        <w:topLinePunct w:val="0"/>
        <w:autoSpaceDE/>
        <w:autoSpaceDN/>
        <w:bidi w:val="0"/>
        <w:adjustRightInd w:val="0"/>
        <w:snapToGrid w:val="0"/>
        <w:ind w:firstLine="480" w:firstLineChars="200"/>
        <w:textAlignment w:val="auto"/>
        <w:rPr>
          <w:rFonts w:ascii="黑体" w:hAnsi="黑体" w:eastAsia="黑体" w:cs="黑体"/>
          <w:bCs/>
          <w:kern w:val="0"/>
          <w:sz w:val="24"/>
        </w:rPr>
      </w:pPr>
      <w:r>
        <w:rPr>
          <w:rFonts w:hint="eastAsia" w:ascii="黑体" w:hAnsi="黑体" w:eastAsia="黑体" w:cs="黑体"/>
          <w:bCs/>
          <w:kern w:val="0"/>
          <w:sz w:val="24"/>
        </w:rPr>
        <w:t>网报时，“申报项目名称”选择“与有关国家互换奖学金计划”、“可利用合作渠道”选择“朝鲜互换奖学金”。</w:t>
      </w:r>
    </w:p>
    <w:p w14:paraId="4A86AA69">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rPr>
        <w:t>申请人应按照规定的程序、时间和要求提交申请材料，并对材料的真实性负责。因申请材料原因导致的责任和后果由申请人承担。</w:t>
      </w:r>
    </w:p>
    <w:p w14:paraId="0899762A">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sz w:val="24"/>
          <w:szCs w:val="24"/>
          <w:lang w:eastAsia="zh-CN"/>
        </w:rPr>
        <w:t>推荐</w:t>
      </w:r>
      <w:r>
        <w:rPr>
          <w:rFonts w:hint="eastAsia" w:ascii="黑体" w:hAnsi="黑体" w:eastAsia="黑体"/>
          <w:sz w:val="24"/>
          <w:szCs w:val="24"/>
        </w:rPr>
        <w:t>单位应对申请人的政治思想、道德品行、学术诚信、身心健康情况、申请资格、综合素质、发展潜力、出国留学必要性、学习计划可行性等方面进行审核（评审）后出具有针对性的单位推荐意见。</w:t>
      </w:r>
      <w:r>
        <w:rPr>
          <w:rFonts w:hint="eastAsia" w:ascii="黑体" w:hAnsi="黑体" w:eastAsia="黑体"/>
          <w:sz w:val="24"/>
          <w:szCs w:val="24"/>
          <w:lang w:eastAsia="zh-CN"/>
        </w:rPr>
        <w:t>推荐</w:t>
      </w:r>
      <w:r>
        <w:rPr>
          <w:rFonts w:hint="eastAsia" w:ascii="黑体" w:hAnsi="黑体" w:eastAsia="黑体"/>
          <w:sz w:val="24"/>
          <w:szCs w:val="24"/>
        </w:rPr>
        <w:t>单位有权退回不真实、不一致、不符合要求的申请。</w:t>
      </w:r>
    </w:p>
    <w:p w14:paraId="165869FF">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cs="黑体"/>
          <w:sz w:val="24"/>
          <w:szCs w:val="24"/>
        </w:rPr>
      </w:pPr>
      <w:r>
        <w:rPr>
          <w:rFonts w:hint="eastAsia" w:ascii="黑体" w:hAnsi="黑体" w:eastAsia="黑体" w:cs="黑体"/>
          <w:sz w:val="24"/>
          <w:szCs w:val="24"/>
        </w:rPr>
        <w:t xml:space="preserve">2．申请受理方式    </w:t>
      </w:r>
    </w:p>
    <w:p w14:paraId="07F5D77F">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cs="黑体"/>
          <w:sz w:val="24"/>
          <w:szCs w:val="24"/>
        </w:rPr>
      </w:pPr>
      <w:r>
        <w:rPr>
          <w:rFonts w:hint="eastAsia" w:ascii="黑体" w:hAnsi="黑体" w:eastAsia="黑体" w:cs="黑体"/>
          <w:sz w:val="24"/>
          <w:szCs w:val="24"/>
        </w:rPr>
        <w:t>国家留学基金委各受理单位统一受理本地区（单位、部门）的申请。国家留学基金委不直接受理个人申请。</w:t>
      </w:r>
    </w:p>
    <w:p w14:paraId="45E9FBF8">
      <w:pPr>
        <w:keepNext w:val="0"/>
        <w:keepLines w:val="0"/>
        <w:pageBreakBefore w:val="0"/>
        <w:kinsoku/>
        <w:wordWrap/>
        <w:overflowPunct/>
        <w:topLinePunct w:val="0"/>
        <w:autoSpaceDE/>
        <w:autoSpaceDN/>
        <w:bidi w:val="0"/>
        <w:adjustRightInd w:val="0"/>
        <w:ind w:firstLine="480" w:firstLineChars="200"/>
        <w:textAlignment w:val="auto"/>
        <w:rPr>
          <w:rFonts w:ascii="黑体" w:hAnsi="黑体" w:eastAsia="黑体" w:cs="黑体"/>
          <w:sz w:val="24"/>
          <w:szCs w:val="24"/>
        </w:rPr>
      </w:pPr>
      <w:r>
        <w:rPr>
          <w:rFonts w:hint="eastAsia" w:ascii="黑体" w:hAnsi="黑体" w:eastAsia="黑体" w:cs="黑体"/>
          <w:sz w:val="24"/>
          <w:szCs w:val="24"/>
        </w:rPr>
        <w:t>各受理单位应对申请人提交的材料进行审核，对拟推荐人选进行公示后，于2025年</w:t>
      </w:r>
      <w:r>
        <w:rPr>
          <w:rFonts w:hint="eastAsia" w:ascii="黑体" w:hAnsi="黑体" w:eastAsia="黑体" w:cs="黑体"/>
          <w:sz w:val="24"/>
          <w:szCs w:val="24"/>
          <w:lang w:val="en-US" w:eastAsia="zh-CN"/>
        </w:rPr>
        <w:t>12</w:t>
      </w:r>
      <w:r>
        <w:rPr>
          <w:rFonts w:hint="eastAsia" w:ascii="黑体" w:hAnsi="黑体" w:eastAsia="黑体" w:cs="黑体"/>
          <w:sz w:val="24"/>
          <w:szCs w:val="24"/>
        </w:rPr>
        <w:t>月</w:t>
      </w:r>
      <w:r>
        <w:rPr>
          <w:rFonts w:hint="eastAsia" w:ascii="黑体" w:hAnsi="黑体" w:eastAsia="黑体" w:cs="黑体"/>
          <w:sz w:val="24"/>
          <w:szCs w:val="24"/>
          <w:lang w:val="en-US" w:eastAsia="zh-CN"/>
        </w:rPr>
        <w:t>26</w:t>
      </w:r>
      <w:r>
        <w:rPr>
          <w:rFonts w:hint="eastAsia" w:ascii="黑体" w:hAnsi="黑体" w:eastAsia="黑体" w:cs="黑体"/>
          <w:sz w:val="24"/>
          <w:szCs w:val="24"/>
        </w:rPr>
        <w:t>日前将正式推荐公函、推荐人员名单上传至信息平台，纸质版对外联系材料统一寄（送）至国家留学基金委欧亚非事务部，并将电子版对外联系材料扫描汇总后发送至ouyafei5@csc.edu.cn。受理单位有权退回不真实、不一致、不符合要求的申请。</w:t>
      </w:r>
    </w:p>
    <w:p w14:paraId="200C0FD0">
      <w:pPr>
        <w:keepNext w:val="0"/>
        <w:keepLines w:val="0"/>
        <w:pageBreakBefore w:val="0"/>
        <w:kinsoku/>
        <w:wordWrap/>
        <w:overflowPunct/>
        <w:topLinePunct w:val="0"/>
        <w:autoSpaceDE/>
        <w:autoSpaceDN/>
        <w:bidi w:val="0"/>
        <w:adjustRightInd w:val="0"/>
        <w:ind w:firstLine="482" w:firstLineChars="200"/>
        <w:textAlignment w:val="auto"/>
        <w:rPr>
          <w:rFonts w:ascii="黑体" w:hAnsi="黑体" w:eastAsia="黑体" w:cs="黑体"/>
          <w:sz w:val="24"/>
          <w:szCs w:val="24"/>
        </w:rPr>
      </w:pPr>
      <w:r>
        <w:rPr>
          <w:rFonts w:hint="eastAsia" w:ascii="黑体" w:hAnsi="黑体" w:eastAsia="黑体" w:cs="Arial"/>
          <w:b/>
          <w:bCs/>
          <w:kern w:val="0"/>
          <w:sz w:val="24"/>
          <w:szCs w:val="24"/>
        </w:rPr>
        <w:t>五、评审及</w:t>
      </w:r>
      <w:r>
        <w:rPr>
          <w:rFonts w:ascii="黑体" w:hAnsi="黑体" w:eastAsia="黑体" w:cs="Arial"/>
          <w:b/>
          <w:bCs/>
          <w:kern w:val="0"/>
          <w:sz w:val="24"/>
          <w:szCs w:val="24"/>
        </w:rPr>
        <w:t>录取</w:t>
      </w:r>
    </w:p>
    <w:p w14:paraId="0295C860">
      <w:pPr>
        <w:keepNext w:val="0"/>
        <w:keepLines w:val="0"/>
        <w:pageBreakBefore w:val="0"/>
        <w:widowControl/>
        <w:kinsoku/>
        <w:wordWrap/>
        <w:overflowPunct/>
        <w:topLinePunct w:val="0"/>
        <w:autoSpaceDE/>
        <w:autoSpaceDN/>
        <w:bidi w:val="0"/>
        <w:adjustRightInd w:val="0"/>
        <w:ind w:firstLine="480" w:firstLineChars="200"/>
        <w:textAlignment w:val="auto"/>
        <w:rPr>
          <w:rFonts w:ascii="黑体" w:hAnsi="黑体" w:eastAsia="黑体"/>
          <w:sz w:val="24"/>
          <w:szCs w:val="24"/>
        </w:rPr>
      </w:pPr>
      <w:r>
        <w:rPr>
          <w:rFonts w:hint="eastAsia" w:ascii="黑体" w:hAnsi="黑体" w:eastAsia="黑体" w:cs="Arial"/>
          <w:kern w:val="0"/>
          <w:sz w:val="24"/>
          <w:szCs w:val="24"/>
        </w:rPr>
        <w:t>国家留学基金委将对申请材料进行审核，确定留学候选人并</w:t>
      </w:r>
      <w:r>
        <w:rPr>
          <w:rFonts w:ascii="黑体" w:hAnsi="黑体" w:eastAsia="黑体" w:cs="Arial"/>
          <w:kern w:val="0"/>
          <w:sz w:val="24"/>
          <w:szCs w:val="24"/>
        </w:rPr>
        <w:t>向朝方推荐</w:t>
      </w:r>
      <w:r>
        <w:rPr>
          <w:rFonts w:hint="eastAsia" w:ascii="黑体" w:hAnsi="黑体" w:eastAsia="黑体" w:cs="Arial"/>
          <w:kern w:val="0"/>
          <w:sz w:val="24"/>
          <w:szCs w:val="24"/>
        </w:rPr>
        <w:t>。录取结果以朝方通知为准，留学院校由朝方负责落实。未被朝方</w:t>
      </w:r>
      <w:r>
        <w:rPr>
          <w:rFonts w:ascii="黑体" w:hAnsi="黑体" w:eastAsia="黑体" w:cs="Arial"/>
          <w:kern w:val="0"/>
          <w:sz w:val="24"/>
          <w:szCs w:val="24"/>
        </w:rPr>
        <w:t>录取人员</w:t>
      </w:r>
      <w:r>
        <w:rPr>
          <w:rFonts w:hint="eastAsia" w:ascii="黑体" w:hAnsi="黑体" w:eastAsia="黑体" w:cs="Arial"/>
          <w:kern w:val="0"/>
          <w:sz w:val="24"/>
          <w:szCs w:val="24"/>
        </w:rPr>
        <w:t>，由</w:t>
      </w:r>
      <w:r>
        <w:rPr>
          <w:rFonts w:hint="eastAsia" w:ascii="黑体" w:hAnsi="黑体" w:eastAsia="黑体" w:cs="Arial"/>
          <w:kern w:val="0"/>
          <w:sz w:val="24"/>
          <w:szCs w:val="24"/>
          <w:lang w:eastAsia="zh-CN"/>
        </w:rPr>
        <w:t>推荐</w:t>
      </w:r>
      <w:r>
        <w:rPr>
          <w:rFonts w:hint="eastAsia" w:ascii="黑体" w:hAnsi="黑体" w:eastAsia="黑体" w:cs="Arial"/>
          <w:kern w:val="0"/>
          <w:sz w:val="24"/>
          <w:szCs w:val="24"/>
        </w:rPr>
        <w:t>单位做好工作、学习安排，国家留学基金委不再负责其派出事宜。</w:t>
      </w:r>
    </w:p>
    <w:p w14:paraId="35540E83">
      <w:pPr>
        <w:keepNext w:val="0"/>
        <w:keepLines w:val="0"/>
        <w:pageBreakBefore w:val="0"/>
        <w:widowControl/>
        <w:kinsoku/>
        <w:wordWrap/>
        <w:overflowPunct/>
        <w:topLinePunct w:val="0"/>
        <w:autoSpaceDE/>
        <w:autoSpaceDN/>
        <w:bidi w:val="0"/>
        <w:adjustRightInd w:val="0"/>
        <w:ind w:firstLine="482" w:firstLineChars="200"/>
        <w:textAlignment w:val="auto"/>
        <w:rPr>
          <w:rFonts w:ascii="黑体" w:hAnsi="黑体" w:eastAsia="黑体"/>
          <w:sz w:val="24"/>
          <w:szCs w:val="24"/>
        </w:rPr>
      </w:pPr>
      <w:r>
        <w:rPr>
          <w:rFonts w:hint="eastAsia" w:ascii="黑体" w:hAnsi="黑体" w:eastAsia="黑体" w:cs="Arial"/>
          <w:b/>
          <w:kern w:val="0"/>
          <w:sz w:val="24"/>
          <w:szCs w:val="24"/>
        </w:rPr>
        <w:t>六、派出</w:t>
      </w:r>
    </w:p>
    <w:p w14:paraId="2C607D9C">
      <w:pPr>
        <w:keepNext w:val="0"/>
        <w:keepLines w:val="0"/>
        <w:pageBreakBefore w:val="0"/>
        <w:kinsoku/>
        <w:wordWrap/>
        <w:overflowPunct/>
        <w:topLinePunct w:val="0"/>
        <w:autoSpaceDE/>
        <w:autoSpaceDN/>
        <w:bidi w:val="0"/>
        <w:ind w:firstLine="480" w:firstLineChars="200"/>
        <w:textAlignment w:val="auto"/>
        <w:rPr>
          <w:rFonts w:ascii="黑体" w:hAnsi="黑体" w:eastAsia="黑体"/>
          <w:sz w:val="24"/>
          <w:szCs w:val="24"/>
        </w:rPr>
      </w:pPr>
      <w:r>
        <w:rPr>
          <w:rFonts w:hint="eastAsia" w:ascii="黑体" w:hAnsi="黑体" w:eastAsia="黑体" w:cs="Times New Roman"/>
          <w:kern w:val="0"/>
          <w:sz w:val="24"/>
          <w:szCs w:val="24"/>
        </w:rPr>
        <w:t>派出时间以朝方通知为准，往年派出时间一般在</w:t>
      </w:r>
      <w:r>
        <w:rPr>
          <w:rFonts w:hint="eastAsia" w:ascii="黑体" w:hAnsi="黑体" w:eastAsia="黑体" w:cs="Times New Roman"/>
          <w:kern w:val="0"/>
          <w:sz w:val="24"/>
          <w:szCs w:val="24"/>
          <w:lang w:val="en-US" w:eastAsia="zh-CN"/>
        </w:rPr>
        <w:t>5</w:t>
      </w:r>
      <w:r>
        <w:rPr>
          <w:rFonts w:hint="eastAsia" w:ascii="黑体" w:hAnsi="黑体" w:eastAsia="黑体" w:cs="Times New Roman"/>
          <w:kern w:val="0"/>
          <w:sz w:val="24"/>
          <w:szCs w:val="24"/>
        </w:rPr>
        <w:t>月。</w:t>
      </w:r>
    </w:p>
    <w:p w14:paraId="4E92C05C">
      <w:pPr>
        <w:keepNext w:val="0"/>
        <w:keepLines w:val="0"/>
        <w:pageBreakBefore w:val="0"/>
        <w:kinsoku/>
        <w:wordWrap/>
        <w:overflowPunct/>
        <w:topLinePunct w:val="0"/>
        <w:autoSpaceDE/>
        <w:autoSpaceDN/>
        <w:bidi w:val="0"/>
        <w:ind w:firstLine="482" w:firstLineChars="200"/>
        <w:textAlignment w:val="auto"/>
        <w:rPr>
          <w:rFonts w:ascii="黑体" w:hAnsi="黑体" w:eastAsia="黑体"/>
          <w:sz w:val="24"/>
          <w:szCs w:val="24"/>
        </w:rPr>
      </w:pPr>
      <w:r>
        <w:rPr>
          <w:rFonts w:hint="eastAsia" w:ascii="黑体" w:hAnsi="黑体" w:eastAsia="黑体" w:cs="Arial"/>
          <w:b/>
          <w:kern w:val="0"/>
          <w:sz w:val="24"/>
          <w:szCs w:val="24"/>
        </w:rPr>
        <w:t>七、咨询方式</w:t>
      </w:r>
    </w:p>
    <w:p w14:paraId="0F10368A">
      <w:pPr>
        <w:keepNext w:val="0"/>
        <w:keepLines w:val="0"/>
        <w:pageBreakBefore w:val="0"/>
        <w:kinsoku/>
        <w:wordWrap/>
        <w:overflowPunct/>
        <w:topLinePunct w:val="0"/>
        <w:autoSpaceDE/>
        <w:autoSpaceDN/>
        <w:bidi w:val="0"/>
        <w:ind w:firstLine="480" w:firstLineChars="200"/>
        <w:textAlignment w:val="auto"/>
        <w:rPr>
          <w:rFonts w:ascii="黑体" w:hAnsi="黑体" w:eastAsia="黑体"/>
          <w:sz w:val="24"/>
          <w:szCs w:val="24"/>
        </w:rPr>
      </w:pPr>
      <w:r>
        <w:rPr>
          <w:rFonts w:hint="eastAsia" w:ascii="黑体" w:hAnsi="黑体" w:eastAsia="黑体"/>
          <w:sz w:val="24"/>
          <w:szCs w:val="24"/>
        </w:rPr>
        <w:t>联系电话：</w:t>
      </w:r>
      <w:r>
        <w:rPr>
          <w:rFonts w:ascii="黑体" w:hAnsi="黑体" w:eastAsia="黑体"/>
          <w:sz w:val="24"/>
          <w:szCs w:val="24"/>
        </w:rPr>
        <w:t xml:space="preserve">010-66093572    </w:t>
      </w:r>
      <w:r>
        <w:rPr>
          <w:rFonts w:hint="eastAsia" w:ascii="黑体" w:hAnsi="黑体" w:eastAsia="黑体"/>
          <w:sz w:val="24"/>
          <w:szCs w:val="24"/>
        </w:rPr>
        <w:t xml:space="preserve"> 电子邮箱：</w:t>
      </w:r>
      <w:r>
        <w:rPr>
          <w:rFonts w:hint="eastAsia" w:ascii="黑体" w:hAnsi="黑体" w:eastAsia="黑体" w:cs="仿宋"/>
          <w:color w:val="auto"/>
          <w:kern w:val="0"/>
          <w:sz w:val="24"/>
          <w:szCs w:val="24"/>
          <w:u w:val="none"/>
        </w:rPr>
        <w:t>ouyafei</w:t>
      </w:r>
      <w:r>
        <w:rPr>
          <w:rFonts w:ascii="黑体" w:hAnsi="黑体" w:eastAsia="黑体" w:cs="仿宋"/>
          <w:color w:val="auto"/>
          <w:kern w:val="0"/>
          <w:sz w:val="24"/>
          <w:szCs w:val="24"/>
          <w:u w:val="none"/>
        </w:rPr>
        <w:t>5</w:t>
      </w:r>
      <w:r>
        <w:rPr>
          <w:rFonts w:hint="eastAsia" w:ascii="黑体" w:hAnsi="黑体" w:eastAsia="黑体" w:cs="仿宋"/>
          <w:color w:val="auto"/>
          <w:kern w:val="0"/>
          <w:sz w:val="24"/>
          <w:szCs w:val="24"/>
          <w:u w:val="none"/>
        </w:rPr>
        <w:t>@csc.edu.cn</w:t>
      </w:r>
    </w:p>
    <w:p w14:paraId="5B76FAD0">
      <w:pPr>
        <w:keepNext w:val="0"/>
        <w:keepLines w:val="0"/>
        <w:pageBreakBefore w:val="0"/>
        <w:kinsoku/>
        <w:wordWrap/>
        <w:overflowPunct/>
        <w:topLinePunct w:val="0"/>
        <w:autoSpaceDE/>
        <w:autoSpaceDN/>
        <w:bidi w:val="0"/>
        <w:ind w:firstLine="480" w:firstLineChars="200"/>
        <w:textAlignment w:val="auto"/>
        <w:rPr>
          <w:rFonts w:ascii="黑体" w:hAnsi="黑体" w:eastAsia="黑体"/>
          <w:sz w:val="24"/>
          <w:szCs w:val="24"/>
        </w:rPr>
      </w:pPr>
      <w:r>
        <w:rPr>
          <w:rFonts w:hint="eastAsia" w:ascii="黑体" w:hAnsi="黑体" w:eastAsia="黑体"/>
          <w:sz w:val="24"/>
          <w:szCs w:val="24"/>
        </w:rPr>
        <w:t>地址：北京市车公庄大街</w:t>
      </w:r>
      <w:r>
        <w:rPr>
          <w:rFonts w:ascii="黑体" w:hAnsi="黑体" w:eastAsia="黑体"/>
          <w:sz w:val="24"/>
          <w:szCs w:val="24"/>
        </w:rPr>
        <w:t>9</w:t>
      </w:r>
      <w:r>
        <w:rPr>
          <w:rFonts w:hint="eastAsia" w:ascii="黑体" w:hAnsi="黑体" w:eastAsia="黑体"/>
          <w:sz w:val="24"/>
          <w:szCs w:val="24"/>
        </w:rPr>
        <w:t>号五栋大楼</w:t>
      </w:r>
      <w:r>
        <w:rPr>
          <w:rFonts w:ascii="黑体" w:hAnsi="黑体" w:eastAsia="黑体"/>
          <w:sz w:val="24"/>
          <w:szCs w:val="24"/>
        </w:rPr>
        <w:t>A3</w:t>
      </w:r>
      <w:r>
        <w:rPr>
          <w:rFonts w:hint="eastAsia" w:ascii="黑体" w:hAnsi="黑体" w:eastAsia="黑体"/>
          <w:sz w:val="24"/>
          <w:szCs w:val="24"/>
        </w:rPr>
        <w:t>座</w:t>
      </w:r>
      <w:r>
        <w:rPr>
          <w:rFonts w:ascii="黑体" w:hAnsi="黑体" w:eastAsia="黑体"/>
          <w:sz w:val="24"/>
          <w:szCs w:val="24"/>
        </w:rPr>
        <w:t>13</w:t>
      </w:r>
      <w:r>
        <w:rPr>
          <w:rFonts w:hint="eastAsia" w:ascii="黑体" w:hAnsi="黑体" w:eastAsia="黑体"/>
          <w:sz w:val="24"/>
          <w:szCs w:val="24"/>
        </w:rPr>
        <w:t>层（</w:t>
      </w:r>
      <w:r>
        <w:rPr>
          <w:rFonts w:ascii="黑体" w:hAnsi="黑体" w:eastAsia="黑体"/>
          <w:sz w:val="24"/>
          <w:szCs w:val="24"/>
        </w:rPr>
        <w:t>100044</w:t>
      </w:r>
      <w:r>
        <w:rPr>
          <w:rFonts w:hint="eastAsia" w:ascii="黑体" w:hAnsi="黑体" w:eastAsia="黑体"/>
          <w:sz w:val="24"/>
          <w:szCs w:val="24"/>
        </w:rPr>
        <w:t>）</w:t>
      </w:r>
    </w:p>
    <w:p w14:paraId="56763D2D">
      <w:pPr>
        <w:keepNext w:val="0"/>
        <w:keepLines w:val="0"/>
        <w:pageBreakBefore w:val="0"/>
        <w:kinsoku/>
        <w:wordWrap/>
        <w:overflowPunct/>
        <w:topLinePunct w:val="0"/>
        <w:autoSpaceDE/>
        <w:autoSpaceDN/>
        <w:bidi w:val="0"/>
        <w:ind w:firstLine="482" w:firstLineChars="200"/>
        <w:textAlignment w:val="auto"/>
        <w:rPr>
          <w:rFonts w:ascii="黑体" w:hAnsi="黑体" w:eastAsia="黑体" w:cs="Times New Roman"/>
          <w:sz w:val="24"/>
          <w:szCs w:val="24"/>
        </w:rPr>
      </w:pPr>
      <w:r>
        <w:rPr>
          <w:rFonts w:hint="eastAsia" w:ascii="黑体" w:hAnsi="黑体" w:eastAsia="黑体" w:cs="Arial"/>
          <w:b/>
          <w:kern w:val="0"/>
          <w:sz w:val="24"/>
          <w:szCs w:val="24"/>
        </w:rPr>
        <w:t>八、申请及选派程序</w:t>
      </w:r>
    </w:p>
    <w:tbl>
      <w:tblPr>
        <w:tblStyle w:val="7"/>
        <w:tblW w:w="9908"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40"/>
        <w:gridCol w:w="1246"/>
        <w:gridCol w:w="1276"/>
        <w:gridCol w:w="3119"/>
        <w:gridCol w:w="3827"/>
      </w:tblGrid>
      <w:tr w14:paraId="1B09AD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3" w:hRule="atLeast"/>
          <w:jc w:val="center"/>
        </w:trPr>
        <w:tc>
          <w:tcPr>
            <w:tcW w:w="440" w:type="dxa"/>
            <w:vAlign w:val="center"/>
          </w:tcPr>
          <w:p w14:paraId="1DCE3F10">
            <w:pPr>
              <w:keepNext w:val="0"/>
              <w:keepLines w:val="0"/>
              <w:pageBreakBefore w:val="0"/>
              <w:kinsoku/>
              <w:wordWrap/>
              <w:overflowPunct/>
              <w:topLinePunct w:val="0"/>
              <w:autoSpaceDE/>
              <w:autoSpaceDN/>
              <w:bidi w:val="0"/>
              <w:snapToGrid w:val="0"/>
              <w:jc w:val="center"/>
              <w:textAlignment w:val="auto"/>
              <w:rPr>
                <w:rFonts w:ascii="黑体" w:eastAsia="黑体"/>
                <w:b/>
                <w:bCs/>
              </w:rPr>
            </w:pPr>
            <w:r>
              <w:rPr>
                <w:rFonts w:hint="eastAsia" w:ascii="黑体" w:eastAsia="黑体"/>
                <w:b/>
                <w:bCs/>
              </w:rPr>
              <w:t>序号</w:t>
            </w:r>
          </w:p>
        </w:tc>
        <w:tc>
          <w:tcPr>
            <w:tcW w:w="1246" w:type="dxa"/>
            <w:vAlign w:val="center"/>
          </w:tcPr>
          <w:p w14:paraId="13D51063">
            <w:pPr>
              <w:keepNext w:val="0"/>
              <w:keepLines w:val="0"/>
              <w:pageBreakBefore w:val="0"/>
              <w:kinsoku/>
              <w:wordWrap/>
              <w:overflowPunct/>
              <w:topLinePunct w:val="0"/>
              <w:autoSpaceDE/>
              <w:autoSpaceDN/>
              <w:bidi w:val="0"/>
              <w:snapToGrid w:val="0"/>
              <w:jc w:val="center"/>
              <w:textAlignment w:val="auto"/>
              <w:rPr>
                <w:rFonts w:ascii="黑体" w:eastAsia="黑体"/>
                <w:b/>
                <w:bCs/>
              </w:rPr>
            </w:pPr>
            <w:r>
              <w:rPr>
                <w:rFonts w:hint="eastAsia" w:ascii="黑体" w:eastAsia="黑体"/>
                <w:b/>
                <w:bCs/>
              </w:rPr>
              <w:t>时间</w:t>
            </w:r>
          </w:p>
        </w:tc>
        <w:tc>
          <w:tcPr>
            <w:tcW w:w="1276" w:type="dxa"/>
            <w:vAlign w:val="center"/>
          </w:tcPr>
          <w:p w14:paraId="4D4717D3">
            <w:pPr>
              <w:keepNext w:val="0"/>
              <w:keepLines w:val="0"/>
              <w:pageBreakBefore w:val="0"/>
              <w:kinsoku/>
              <w:wordWrap/>
              <w:overflowPunct/>
              <w:topLinePunct w:val="0"/>
              <w:autoSpaceDE/>
              <w:autoSpaceDN/>
              <w:bidi w:val="0"/>
              <w:snapToGrid w:val="0"/>
              <w:jc w:val="center"/>
              <w:textAlignment w:val="auto"/>
              <w:rPr>
                <w:rFonts w:ascii="黑体" w:eastAsia="黑体"/>
                <w:b/>
                <w:bCs/>
              </w:rPr>
            </w:pPr>
            <w:r>
              <w:rPr>
                <w:rFonts w:hint="eastAsia" w:ascii="黑体" w:eastAsia="黑体"/>
                <w:b/>
                <w:bCs/>
              </w:rPr>
              <w:t>步骤</w:t>
            </w:r>
          </w:p>
        </w:tc>
        <w:tc>
          <w:tcPr>
            <w:tcW w:w="3119" w:type="dxa"/>
            <w:vAlign w:val="center"/>
          </w:tcPr>
          <w:p w14:paraId="1BDBFB5A">
            <w:pPr>
              <w:keepNext w:val="0"/>
              <w:keepLines w:val="0"/>
              <w:pageBreakBefore w:val="0"/>
              <w:kinsoku/>
              <w:wordWrap/>
              <w:overflowPunct/>
              <w:topLinePunct w:val="0"/>
              <w:autoSpaceDE/>
              <w:autoSpaceDN/>
              <w:bidi w:val="0"/>
              <w:snapToGrid w:val="0"/>
              <w:jc w:val="center"/>
              <w:textAlignment w:val="auto"/>
              <w:rPr>
                <w:rFonts w:ascii="黑体" w:eastAsia="黑体"/>
                <w:b/>
                <w:bCs/>
              </w:rPr>
            </w:pPr>
            <w:r>
              <w:rPr>
                <w:rFonts w:hint="eastAsia" w:ascii="黑体" w:eastAsia="黑体"/>
                <w:b/>
                <w:bCs/>
              </w:rPr>
              <w:t>具体内容</w:t>
            </w:r>
          </w:p>
        </w:tc>
        <w:tc>
          <w:tcPr>
            <w:tcW w:w="3827" w:type="dxa"/>
          </w:tcPr>
          <w:p w14:paraId="4D082989">
            <w:pPr>
              <w:keepNext w:val="0"/>
              <w:keepLines w:val="0"/>
              <w:pageBreakBefore w:val="0"/>
              <w:kinsoku/>
              <w:wordWrap/>
              <w:overflowPunct/>
              <w:topLinePunct w:val="0"/>
              <w:autoSpaceDE/>
              <w:autoSpaceDN/>
              <w:bidi w:val="0"/>
              <w:snapToGrid w:val="0"/>
              <w:jc w:val="center"/>
              <w:textAlignment w:val="auto"/>
              <w:rPr>
                <w:rFonts w:ascii="黑体" w:eastAsia="黑体"/>
                <w:b/>
                <w:bCs/>
              </w:rPr>
            </w:pPr>
            <w:r>
              <w:rPr>
                <w:rFonts w:hint="eastAsia" w:ascii="黑体" w:eastAsia="黑体"/>
                <w:b/>
                <w:bCs/>
              </w:rPr>
              <w:t>备注</w:t>
            </w:r>
          </w:p>
        </w:tc>
      </w:tr>
      <w:tr w14:paraId="2CAD85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3" w:hRule="atLeast"/>
          <w:jc w:val="center"/>
        </w:trPr>
        <w:tc>
          <w:tcPr>
            <w:tcW w:w="440" w:type="dxa"/>
            <w:vAlign w:val="center"/>
          </w:tcPr>
          <w:p w14:paraId="228884A0">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1</w:t>
            </w:r>
          </w:p>
        </w:tc>
        <w:tc>
          <w:tcPr>
            <w:tcW w:w="1246" w:type="dxa"/>
            <w:vAlign w:val="center"/>
          </w:tcPr>
          <w:p w14:paraId="0169B05C">
            <w:pPr>
              <w:keepNext w:val="0"/>
              <w:keepLines w:val="0"/>
              <w:pageBreakBefore w:val="0"/>
              <w:kinsoku/>
              <w:wordWrap/>
              <w:overflowPunct/>
              <w:topLinePunct w:val="0"/>
              <w:autoSpaceDE/>
              <w:autoSpaceDN/>
              <w:bidi w:val="0"/>
              <w:snapToGrid w:val="0"/>
              <w:textAlignment w:val="auto"/>
              <w:rPr>
                <w:rFonts w:ascii="黑体" w:eastAsia="黑体"/>
                <w:bCs/>
              </w:rPr>
            </w:pPr>
            <w:r>
              <w:rPr>
                <w:rFonts w:ascii="黑体" w:eastAsia="黑体"/>
                <w:bCs/>
              </w:rPr>
              <w:t>202</w:t>
            </w:r>
            <w:r>
              <w:rPr>
                <w:rFonts w:hint="eastAsia" w:ascii="黑体" w:eastAsia="黑体"/>
                <w:bCs/>
                <w:lang w:val="en-US" w:eastAsia="zh-CN"/>
              </w:rPr>
              <w:t>5</w:t>
            </w:r>
            <w:r>
              <w:rPr>
                <w:rFonts w:hint="eastAsia" w:ascii="黑体" w:eastAsia="黑体"/>
                <w:bCs/>
              </w:rPr>
              <w:t>年1</w:t>
            </w:r>
            <w:r>
              <w:rPr>
                <w:rFonts w:ascii="黑体" w:eastAsia="黑体"/>
                <w:bCs/>
              </w:rPr>
              <w:t>2</w:t>
            </w:r>
            <w:r>
              <w:rPr>
                <w:rFonts w:hint="eastAsia" w:ascii="黑体" w:eastAsia="黑体"/>
                <w:bCs/>
              </w:rPr>
              <w:t>月</w:t>
            </w:r>
            <w:r>
              <w:rPr>
                <w:rFonts w:hint="eastAsia" w:ascii="黑体" w:eastAsia="黑体"/>
                <w:bCs/>
                <w:lang w:val="en-US" w:eastAsia="zh-CN"/>
              </w:rPr>
              <w:t>12</w:t>
            </w:r>
            <w:r>
              <w:rPr>
                <w:rFonts w:hint="eastAsia" w:ascii="黑体" w:eastAsia="黑体"/>
                <w:bCs/>
              </w:rPr>
              <w:t>日前</w:t>
            </w:r>
          </w:p>
        </w:tc>
        <w:tc>
          <w:tcPr>
            <w:tcW w:w="1276" w:type="dxa"/>
            <w:vAlign w:val="center"/>
          </w:tcPr>
          <w:p w14:paraId="69311466">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申请准备</w:t>
            </w:r>
          </w:p>
        </w:tc>
        <w:tc>
          <w:tcPr>
            <w:tcW w:w="3119" w:type="dxa"/>
            <w:vAlign w:val="center"/>
          </w:tcPr>
          <w:p w14:paraId="2E54DBB7">
            <w:pPr>
              <w:keepNext w:val="0"/>
              <w:keepLines w:val="0"/>
              <w:pageBreakBefore w:val="0"/>
              <w:kinsoku/>
              <w:wordWrap/>
              <w:overflowPunct/>
              <w:topLinePunct w:val="0"/>
              <w:autoSpaceDE/>
              <w:autoSpaceDN/>
              <w:bidi w:val="0"/>
              <w:snapToGrid w:val="0"/>
              <w:jc w:val="left"/>
              <w:textAlignment w:val="auto"/>
              <w:rPr>
                <w:rFonts w:ascii="黑体" w:eastAsia="黑体"/>
                <w:bCs/>
              </w:rPr>
            </w:pPr>
            <w:r>
              <w:rPr>
                <w:rFonts w:hint="eastAsia" w:ascii="黑体" w:eastAsia="黑体"/>
                <w:bCs/>
              </w:rPr>
              <w:t>申请人根据“信息平台应提交的申请材料及说明”及“应提交的对外联系材料及说明”准备材料</w:t>
            </w:r>
          </w:p>
        </w:tc>
        <w:tc>
          <w:tcPr>
            <w:tcW w:w="3827" w:type="dxa"/>
          </w:tcPr>
          <w:p w14:paraId="172375C0">
            <w:pPr>
              <w:keepNext w:val="0"/>
              <w:keepLines w:val="0"/>
              <w:pageBreakBefore w:val="0"/>
              <w:kinsoku/>
              <w:wordWrap/>
              <w:overflowPunct/>
              <w:topLinePunct w:val="0"/>
              <w:autoSpaceDE/>
              <w:autoSpaceDN/>
              <w:bidi w:val="0"/>
              <w:snapToGrid w:val="0"/>
              <w:jc w:val="left"/>
              <w:textAlignment w:val="auto"/>
              <w:rPr>
                <w:rFonts w:ascii="黑体" w:eastAsia="黑体"/>
                <w:bCs/>
              </w:rPr>
            </w:pPr>
          </w:p>
        </w:tc>
      </w:tr>
      <w:tr w14:paraId="42D41E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41" w:hRule="atLeast"/>
          <w:jc w:val="center"/>
        </w:trPr>
        <w:tc>
          <w:tcPr>
            <w:tcW w:w="440" w:type="dxa"/>
            <w:vAlign w:val="center"/>
          </w:tcPr>
          <w:p w14:paraId="5D440FAC">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2</w:t>
            </w:r>
          </w:p>
        </w:tc>
        <w:tc>
          <w:tcPr>
            <w:tcW w:w="1246" w:type="dxa"/>
            <w:vAlign w:val="center"/>
          </w:tcPr>
          <w:p w14:paraId="1A83DBEF">
            <w:pPr>
              <w:keepNext w:val="0"/>
              <w:keepLines w:val="0"/>
              <w:pageBreakBefore w:val="0"/>
              <w:kinsoku/>
              <w:wordWrap/>
              <w:overflowPunct/>
              <w:topLinePunct w:val="0"/>
              <w:autoSpaceDE/>
              <w:autoSpaceDN/>
              <w:bidi w:val="0"/>
              <w:snapToGrid w:val="0"/>
              <w:textAlignment w:val="auto"/>
              <w:rPr>
                <w:rFonts w:hint="default" w:ascii="黑体" w:eastAsia="黑体"/>
                <w:bCs/>
                <w:lang w:val="en-US" w:eastAsia="zh-CN"/>
              </w:rPr>
            </w:pPr>
            <w:r>
              <w:rPr>
                <w:rFonts w:hint="eastAsia" w:ascii="黑体" w:hAnsi="黑体" w:eastAsia="黑体" w:cs="Arial"/>
                <w:color w:val="000000"/>
                <w:kern w:val="0"/>
              </w:rPr>
              <w:t>1</w:t>
            </w:r>
            <w:r>
              <w:rPr>
                <w:rFonts w:ascii="黑体" w:hAnsi="黑体" w:eastAsia="黑体" w:cs="Arial"/>
                <w:color w:val="000000"/>
                <w:kern w:val="0"/>
              </w:rPr>
              <w:t>2</w:t>
            </w:r>
            <w:r>
              <w:rPr>
                <w:rFonts w:hint="eastAsia" w:ascii="黑体" w:hAnsi="黑体" w:eastAsia="黑体" w:cs="Arial"/>
                <w:color w:val="000000"/>
                <w:kern w:val="0"/>
              </w:rPr>
              <w:t>月</w:t>
            </w:r>
            <w:r>
              <w:rPr>
                <w:rFonts w:hint="eastAsia" w:ascii="黑体" w:hAnsi="黑体" w:eastAsia="黑体" w:cs="Arial"/>
                <w:color w:val="000000"/>
                <w:kern w:val="0"/>
                <w:lang w:val="en-US" w:eastAsia="zh-CN"/>
              </w:rPr>
              <w:t>12</w:t>
            </w:r>
            <w:r>
              <w:rPr>
                <w:rFonts w:hint="eastAsia" w:ascii="黑体" w:hAnsi="黑体" w:eastAsia="黑体" w:cs="Arial"/>
                <w:color w:val="000000"/>
                <w:kern w:val="0"/>
              </w:rPr>
              <w:t>日</w:t>
            </w:r>
            <w:r>
              <w:rPr>
                <w:rFonts w:hint="eastAsia" w:ascii="黑体" w:hAnsi="黑体" w:eastAsia="黑体" w:cs="Arial"/>
                <w:color w:val="000000"/>
                <w:kern w:val="0"/>
                <w:lang w:val="en-US" w:eastAsia="zh-CN"/>
              </w:rPr>
              <w:t>0时</w:t>
            </w:r>
            <w:r>
              <w:rPr>
                <w:rFonts w:hint="eastAsia" w:ascii="黑体" w:hAnsi="黑体" w:eastAsia="黑体" w:cs="Arial"/>
                <w:color w:val="000000"/>
                <w:kern w:val="0"/>
              </w:rPr>
              <w:t>至1</w:t>
            </w:r>
            <w:r>
              <w:rPr>
                <w:rFonts w:hint="eastAsia" w:ascii="黑体" w:hAnsi="黑体" w:eastAsia="黑体" w:cs="Arial"/>
                <w:color w:val="000000"/>
                <w:kern w:val="0"/>
                <w:lang w:val="en-US" w:eastAsia="zh-CN"/>
              </w:rPr>
              <w:t>2</w:t>
            </w:r>
            <w:r>
              <w:rPr>
                <w:rFonts w:hint="eastAsia" w:ascii="黑体" w:hAnsi="黑体" w:eastAsia="黑体" w:cs="Arial"/>
                <w:color w:val="000000"/>
                <w:kern w:val="0"/>
              </w:rPr>
              <w:t>月</w:t>
            </w:r>
            <w:r>
              <w:rPr>
                <w:rFonts w:hint="eastAsia" w:ascii="黑体" w:hAnsi="黑体" w:eastAsia="黑体" w:cs="Arial"/>
                <w:color w:val="000000"/>
                <w:kern w:val="0"/>
                <w:lang w:val="en-US" w:eastAsia="zh-CN"/>
              </w:rPr>
              <w:t>19</w:t>
            </w:r>
            <w:r>
              <w:rPr>
                <w:rFonts w:hint="eastAsia" w:ascii="黑体" w:hAnsi="黑体" w:eastAsia="黑体" w:cs="Arial"/>
                <w:color w:val="000000"/>
                <w:kern w:val="0"/>
              </w:rPr>
              <w:t>日</w:t>
            </w:r>
            <w:r>
              <w:rPr>
                <w:rFonts w:hint="eastAsia" w:ascii="黑体" w:hAnsi="黑体" w:eastAsia="黑体" w:cs="Arial"/>
                <w:color w:val="000000"/>
                <w:kern w:val="0"/>
                <w:lang w:val="en-US" w:eastAsia="zh-CN"/>
              </w:rPr>
              <w:t>14时</w:t>
            </w:r>
          </w:p>
        </w:tc>
        <w:tc>
          <w:tcPr>
            <w:tcW w:w="1276" w:type="dxa"/>
            <w:vAlign w:val="center"/>
          </w:tcPr>
          <w:p w14:paraId="2E7D246C">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申请</w:t>
            </w:r>
          </w:p>
        </w:tc>
        <w:tc>
          <w:tcPr>
            <w:tcW w:w="3119" w:type="dxa"/>
            <w:vAlign w:val="center"/>
          </w:tcPr>
          <w:p w14:paraId="315DA512">
            <w:pPr>
              <w:keepNext w:val="0"/>
              <w:keepLines w:val="0"/>
              <w:pageBreakBefore w:val="0"/>
              <w:kinsoku/>
              <w:wordWrap/>
              <w:overflowPunct/>
              <w:topLinePunct w:val="0"/>
              <w:autoSpaceDE/>
              <w:autoSpaceDN/>
              <w:bidi w:val="0"/>
              <w:snapToGrid w:val="0"/>
              <w:jc w:val="left"/>
              <w:textAlignment w:val="auto"/>
              <w:rPr>
                <w:rFonts w:ascii="黑体" w:eastAsia="黑体"/>
                <w:bCs/>
              </w:rPr>
            </w:pPr>
            <w:r>
              <w:rPr>
                <w:rFonts w:hint="eastAsia" w:ascii="黑体" w:eastAsia="黑体"/>
                <w:bCs/>
              </w:rPr>
              <w:t>申请人经所在单位审核同意后，进行网上报名并向各受理单位提交申请材料</w:t>
            </w:r>
          </w:p>
        </w:tc>
        <w:tc>
          <w:tcPr>
            <w:tcW w:w="3827" w:type="dxa"/>
          </w:tcPr>
          <w:p w14:paraId="71E726BF">
            <w:pPr>
              <w:keepNext w:val="0"/>
              <w:keepLines w:val="0"/>
              <w:pageBreakBefore w:val="0"/>
              <w:kinsoku/>
              <w:wordWrap/>
              <w:overflowPunct/>
              <w:topLinePunct w:val="0"/>
              <w:autoSpaceDE/>
              <w:autoSpaceDN/>
              <w:bidi w:val="0"/>
              <w:snapToGrid w:val="0"/>
              <w:jc w:val="left"/>
              <w:textAlignment w:val="auto"/>
              <w:rPr>
                <w:rFonts w:ascii="黑体" w:eastAsia="MS Mincho"/>
                <w:bCs/>
              </w:rPr>
            </w:pPr>
          </w:p>
        </w:tc>
      </w:tr>
      <w:tr w14:paraId="1646DC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9" w:hRule="atLeast"/>
          <w:jc w:val="center"/>
        </w:trPr>
        <w:tc>
          <w:tcPr>
            <w:tcW w:w="440" w:type="dxa"/>
            <w:vAlign w:val="center"/>
          </w:tcPr>
          <w:p w14:paraId="00F9B078">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3</w:t>
            </w:r>
          </w:p>
        </w:tc>
        <w:tc>
          <w:tcPr>
            <w:tcW w:w="1246" w:type="dxa"/>
            <w:vAlign w:val="center"/>
          </w:tcPr>
          <w:p w14:paraId="2285AFF9">
            <w:pPr>
              <w:keepNext w:val="0"/>
              <w:keepLines w:val="0"/>
              <w:pageBreakBefore w:val="0"/>
              <w:kinsoku/>
              <w:wordWrap/>
              <w:overflowPunct/>
              <w:topLinePunct w:val="0"/>
              <w:autoSpaceDE/>
              <w:autoSpaceDN/>
              <w:bidi w:val="0"/>
              <w:snapToGrid w:val="0"/>
              <w:textAlignment w:val="auto"/>
              <w:rPr>
                <w:rFonts w:ascii="黑体" w:eastAsia="黑体"/>
                <w:bCs/>
              </w:rPr>
            </w:pPr>
            <w:r>
              <w:rPr>
                <w:rFonts w:hint="eastAsia" w:ascii="黑体" w:eastAsia="黑体"/>
                <w:bCs/>
                <w:lang w:val="en-US" w:eastAsia="zh-CN"/>
              </w:rPr>
              <w:t>12</w:t>
            </w:r>
            <w:r>
              <w:rPr>
                <w:rFonts w:hint="eastAsia" w:ascii="黑体" w:eastAsia="黑体"/>
                <w:bCs/>
              </w:rPr>
              <w:t>月</w:t>
            </w:r>
            <w:r>
              <w:rPr>
                <w:rFonts w:hint="eastAsia" w:ascii="黑体" w:eastAsia="黑体"/>
                <w:bCs/>
                <w:lang w:val="en-US" w:eastAsia="zh-CN"/>
              </w:rPr>
              <w:t>26</w:t>
            </w:r>
            <w:r>
              <w:rPr>
                <w:rFonts w:hint="eastAsia" w:ascii="黑体" w:eastAsia="黑体"/>
                <w:bCs/>
              </w:rPr>
              <w:t>日</w:t>
            </w:r>
          </w:p>
        </w:tc>
        <w:tc>
          <w:tcPr>
            <w:tcW w:w="1276" w:type="dxa"/>
            <w:vAlign w:val="center"/>
          </w:tcPr>
          <w:p w14:paraId="2E9A16D6">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申请</w:t>
            </w:r>
            <w:r>
              <w:rPr>
                <w:rFonts w:ascii="黑体" w:eastAsia="黑体"/>
                <w:bCs/>
              </w:rPr>
              <w:t>受理</w:t>
            </w:r>
          </w:p>
        </w:tc>
        <w:tc>
          <w:tcPr>
            <w:tcW w:w="3119" w:type="dxa"/>
            <w:vAlign w:val="center"/>
          </w:tcPr>
          <w:p w14:paraId="78797953">
            <w:pPr>
              <w:keepNext w:val="0"/>
              <w:keepLines w:val="0"/>
              <w:pageBreakBefore w:val="0"/>
              <w:kinsoku/>
              <w:wordWrap/>
              <w:overflowPunct/>
              <w:topLinePunct w:val="0"/>
              <w:autoSpaceDE/>
              <w:autoSpaceDN/>
              <w:bidi w:val="0"/>
              <w:snapToGrid w:val="0"/>
              <w:textAlignment w:val="auto"/>
              <w:rPr>
                <w:rFonts w:ascii="黑体" w:eastAsia="黑体"/>
                <w:bCs/>
              </w:rPr>
            </w:pPr>
            <w:r>
              <w:rPr>
                <w:rFonts w:hint="eastAsia" w:ascii="黑体" w:eastAsia="黑体"/>
                <w:bCs/>
              </w:rPr>
              <w:t>各受理单位将正式推荐公函、推荐人员名单上传至信息平台，并寄（送）</w:t>
            </w:r>
            <w:r>
              <w:rPr>
                <w:rFonts w:ascii="黑体" w:eastAsia="黑体"/>
                <w:bCs/>
              </w:rPr>
              <w:t>纸质版</w:t>
            </w:r>
            <w:r>
              <w:rPr>
                <w:rFonts w:hint="eastAsia" w:ascii="黑体" w:eastAsia="黑体"/>
                <w:bCs/>
              </w:rPr>
              <w:t>对</w:t>
            </w:r>
            <w:r>
              <w:rPr>
                <w:rFonts w:ascii="黑体" w:eastAsia="黑体"/>
                <w:bCs/>
              </w:rPr>
              <w:t>外联系材料</w:t>
            </w:r>
            <w:r>
              <w:rPr>
                <w:rFonts w:hint="eastAsia" w:ascii="黑体" w:eastAsia="黑体"/>
                <w:bCs/>
              </w:rPr>
              <w:t>，</w:t>
            </w:r>
            <w:r>
              <w:rPr>
                <w:rFonts w:ascii="黑体" w:eastAsia="黑体"/>
                <w:bCs/>
              </w:rPr>
              <w:t>将</w:t>
            </w:r>
            <w:r>
              <w:rPr>
                <w:rFonts w:hint="eastAsia" w:ascii="黑体" w:eastAsia="黑体"/>
                <w:bCs/>
              </w:rPr>
              <w:t>电子版</w:t>
            </w:r>
            <w:r>
              <w:rPr>
                <w:rFonts w:ascii="黑体" w:eastAsia="黑体"/>
                <w:bCs/>
              </w:rPr>
              <w:t>对外联系材料扫描</w:t>
            </w:r>
            <w:r>
              <w:rPr>
                <w:rFonts w:hint="eastAsia" w:ascii="黑体" w:eastAsia="黑体"/>
                <w:bCs/>
              </w:rPr>
              <w:t>发送至ouyafei5@csc.edu.cn。</w:t>
            </w:r>
          </w:p>
        </w:tc>
        <w:tc>
          <w:tcPr>
            <w:tcW w:w="3827" w:type="dxa"/>
          </w:tcPr>
          <w:p w14:paraId="4E7E1BA6">
            <w:pPr>
              <w:keepNext w:val="0"/>
              <w:keepLines w:val="0"/>
              <w:pageBreakBefore w:val="0"/>
              <w:kinsoku/>
              <w:wordWrap/>
              <w:overflowPunct/>
              <w:topLinePunct w:val="0"/>
              <w:autoSpaceDE/>
              <w:autoSpaceDN/>
              <w:bidi w:val="0"/>
              <w:snapToGrid w:val="0"/>
              <w:textAlignment w:val="auto"/>
              <w:rPr>
                <w:rFonts w:ascii="黑体" w:eastAsia="黑体"/>
                <w:bCs/>
              </w:rPr>
            </w:pPr>
          </w:p>
        </w:tc>
      </w:tr>
      <w:tr w14:paraId="1FCB2C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9" w:hRule="atLeast"/>
          <w:jc w:val="center"/>
        </w:trPr>
        <w:tc>
          <w:tcPr>
            <w:tcW w:w="440" w:type="dxa"/>
            <w:vAlign w:val="center"/>
          </w:tcPr>
          <w:p w14:paraId="27E0BBFD">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ascii="黑体" w:eastAsia="黑体"/>
                <w:bCs/>
              </w:rPr>
              <w:t>4</w:t>
            </w:r>
          </w:p>
        </w:tc>
        <w:tc>
          <w:tcPr>
            <w:tcW w:w="1246" w:type="dxa"/>
            <w:vAlign w:val="center"/>
          </w:tcPr>
          <w:p w14:paraId="442EEEAA">
            <w:pPr>
              <w:keepNext w:val="0"/>
              <w:keepLines w:val="0"/>
              <w:pageBreakBefore w:val="0"/>
              <w:kinsoku/>
              <w:wordWrap/>
              <w:overflowPunct/>
              <w:topLinePunct w:val="0"/>
              <w:autoSpaceDE/>
              <w:autoSpaceDN/>
              <w:bidi w:val="0"/>
              <w:snapToGrid w:val="0"/>
              <w:textAlignment w:val="auto"/>
              <w:rPr>
                <w:rFonts w:ascii="黑体" w:eastAsia="黑体"/>
                <w:bCs/>
              </w:rPr>
            </w:pPr>
            <w:r>
              <w:rPr>
                <w:rFonts w:ascii="黑体" w:eastAsia="黑体"/>
                <w:bCs/>
              </w:rPr>
              <w:t>202</w:t>
            </w:r>
            <w:r>
              <w:rPr>
                <w:rFonts w:hint="eastAsia" w:ascii="黑体" w:eastAsia="黑体"/>
                <w:bCs/>
                <w:lang w:val="en-US" w:eastAsia="zh-CN"/>
              </w:rPr>
              <w:t>6</w:t>
            </w:r>
            <w:r>
              <w:rPr>
                <w:rFonts w:hint="eastAsia" w:ascii="黑体" w:eastAsia="黑体"/>
                <w:bCs/>
              </w:rPr>
              <w:t>年</w:t>
            </w:r>
            <w:r>
              <w:rPr>
                <w:rFonts w:hint="eastAsia" w:ascii="黑体" w:eastAsia="黑体"/>
                <w:bCs/>
                <w:lang w:val="en-US" w:eastAsia="zh-CN"/>
              </w:rPr>
              <w:t>1</w:t>
            </w:r>
            <w:r>
              <w:rPr>
                <w:rFonts w:hint="eastAsia" w:ascii="黑体" w:eastAsia="黑体"/>
                <w:bCs/>
              </w:rPr>
              <w:t>月</w:t>
            </w:r>
            <w:r>
              <w:rPr>
                <w:rFonts w:ascii="黑体" w:eastAsia="黑体"/>
                <w:bCs/>
              </w:rPr>
              <w:t>至4</w:t>
            </w:r>
            <w:r>
              <w:rPr>
                <w:rFonts w:hint="eastAsia" w:ascii="黑体" w:eastAsia="黑体"/>
                <w:bCs/>
              </w:rPr>
              <w:t>月</w:t>
            </w:r>
          </w:p>
        </w:tc>
        <w:tc>
          <w:tcPr>
            <w:tcW w:w="1276" w:type="dxa"/>
            <w:vAlign w:val="center"/>
          </w:tcPr>
          <w:p w14:paraId="6A7956B5">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lang w:eastAsia="zh-CN"/>
              </w:rPr>
              <w:t>材料审核</w:t>
            </w:r>
            <w:r>
              <w:rPr>
                <w:rFonts w:hint="eastAsia" w:ascii="黑体" w:eastAsia="黑体"/>
                <w:bCs/>
              </w:rPr>
              <w:t>、录取</w:t>
            </w:r>
          </w:p>
        </w:tc>
        <w:tc>
          <w:tcPr>
            <w:tcW w:w="3119" w:type="dxa"/>
            <w:vAlign w:val="center"/>
          </w:tcPr>
          <w:p w14:paraId="313D8EB9">
            <w:pPr>
              <w:keepNext w:val="0"/>
              <w:keepLines w:val="0"/>
              <w:pageBreakBefore w:val="0"/>
              <w:kinsoku/>
              <w:wordWrap/>
              <w:overflowPunct/>
              <w:topLinePunct w:val="0"/>
              <w:autoSpaceDE/>
              <w:autoSpaceDN/>
              <w:bidi w:val="0"/>
              <w:snapToGrid w:val="0"/>
              <w:textAlignment w:val="auto"/>
              <w:rPr>
                <w:rFonts w:ascii="黑体" w:eastAsia="黑体"/>
                <w:bCs/>
              </w:rPr>
            </w:pPr>
            <w:r>
              <w:rPr>
                <w:rFonts w:hint="eastAsia" w:ascii="黑体" w:eastAsia="黑体"/>
                <w:bCs/>
              </w:rPr>
              <w:t>国家留学基金委组织</w:t>
            </w:r>
            <w:r>
              <w:rPr>
                <w:rFonts w:hint="eastAsia" w:ascii="黑体" w:eastAsia="黑体"/>
                <w:bCs/>
                <w:lang w:eastAsia="zh-CN"/>
              </w:rPr>
              <w:t>材料审核</w:t>
            </w:r>
            <w:r>
              <w:rPr>
                <w:rFonts w:hint="eastAsia" w:ascii="黑体" w:eastAsia="黑体"/>
                <w:bCs/>
              </w:rPr>
              <w:t>，确定留学候选人并推荐至朝方，录取结果以朝方通知为准，留学院校由朝方负责落实。</w:t>
            </w:r>
          </w:p>
        </w:tc>
        <w:tc>
          <w:tcPr>
            <w:tcW w:w="3827" w:type="dxa"/>
          </w:tcPr>
          <w:p w14:paraId="1AAA217F">
            <w:pPr>
              <w:keepNext w:val="0"/>
              <w:keepLines w:val="0"/>
              <w:pageBreakBefore w:val="0"/>
              <w:kinsoku/>
              <w:wordWrap/>
              <w:overflowPunct/>
              <w:topLinePunct w:val="0"/>
              <w:autoSpaceDE/>
              <w:autoSpaceDN/>
              <w:bidi w:val="0"/>
              <w:snapToGrid w:val="0"/>
              <w:textAlignment w:val="auto"/>
              <w:rPr>
                <w:rFonts w:ascii="黑体" w:eastAsia="黑体"/>
                <w:bCs/>
              </w:rPr>
            </w:pPr>
            <w:r>
              <w:rPr>
                <w:rFonts w:hint="eastAsia" w:ascii="黑体" w:eastAsia="黑体"/>
                <w:bCs/>
              </w:rPr>
              <w:t>申请人可登录国家公派留</w:t>
            </w:r>
            <w:r>
              <w:rPr>
                <w:rFonts w:ascii="黑体" w:eastAsia="黑体"/>
                <w:bCs/>
              </w:rPr>
              <w:t>学管理信息 平台 （https://sa.csc.edu.cn）查询录取结果，下载、打印录取材料。</w:t>
            </w:r>
          </w:p>
        </w:tc>
      </w:tr>
      <w:tr w14:paraId="57A4BF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413" w:hRule="atLeast"/>
          <w:jc w:val="center"/>
        </w:trPr>
        <w:tc>
          <w:tcPr>
            <w:tcW w:w="440" w:type="dxa"/>
            <w:vAlign w:val="center"/>
          </w:tcPr>
          <w:p w14:paraId="38A37694">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ascii="黑体" w:eastAsia="黑体"/>
                <w:bCs/>
              </w:rPr>
              <w:t>5</w:t>
            </w:r>
          </w:p>
        </w:tc>
        <w:tc>
          <w:tcPr>
            <w:tcW w:w="1246" w:type="dxa"/>
            <w:vMerge w:val="restart"/>
            <w:vAlign w:val="center"/>
          </w:tcPr>
          <w:p w14:paraId="4D559CCC">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自公布录取结果起</w:t>
            </w:r>
          </w:p>
        </w:tc>
        <w:tc>
          <w:tcPr>
            <w:tcW w:w="1276" w:type="dxa"/>
            <w:vAlign w:val="center"/>
          </w:tcPr>
          <w:p w14:paraId="142906AE">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办理派出手续</w:t>
            </w:r>
          </w:p>
        </w:tc>
        <w:tc>
          <w:tcPr>
            <w:tcW w:w="3119" w:type="dxa"/>
            <w:vAlign w:val="center"/>
          </w:tcPr>
          <w:p w14:paraId="465A9433">
            <w:pPr>
              <w:keepNext w:val="0"/>
              <w:keepLines w:val="0"/>
              <w:pageBreakBefore w:val="0"/>
              <w:widowControl w:val="0"/>
              <w:kinsoku/>
              <w:wordWrap/>
              <w:overflowPunct/>
              <w:topLinePunct w:val="0"/>
              <w:autoSpaceDE/>
              <w:autoSpaceDN/>
              <w:bidi w:val="0"/>
              <w:adjustRightInd/>
              <w:snapToGrid w:val="0"/>
              <w:textAlignment w:val="auto"/>
              <w:rPr>
                <w:rFonts w:hint="eastAsia" w:ascii="黑体" w:eastAsia="黑体"/>
                <w:bCs/>
              </w:rPr>
            </w:pPr>
            <w:r>
              <w:rPr>
                <w:rFonts w:hint="eastAsia" w:ascii="黑体" w:eastAsia="黑体"/>
                <w:bCs/>
              </w:rPr>
              <w:t>1.登录国家公派留学管理信息平台确认是否需要提交补充材料，并选择留学服务机构。</w:t>
            </w:r>
          </w:p>
          <w:p w14:paraId="7670B244">
            <w:pPr>
              <w:keepNext w:val="0"/>
              <w:keepLines w:val="0"/>
              <w:pageBreakBefore w:val="0"/>
              <w:widowControl w:val="0"/>
              <w:kinsoku/>
              <w:wordWrap/>
              <w:overflowPunct/>
              <w:topLinePunct w:val="0"/>
              <w:autoSpaceDE/>
              <w:autoSpaceDN/>
              <w:bidi w:val="0"/>
              <w:adjustRightInd/>
              <w:snapToGrid w:val="0"/>
              <w:textAlignment w:val="auto"/>
              <w:rPr>
                <w:rFonts w:hint="eastAsia" w:ascii="黑体" w:eastAsia="黑体"/>
                <w:bCs/>
              </w:rPr>
            </w:pPr>
            <w:r>
              <w:rPr>
                <w:rFonts w:hint="eastAsia" w:ascii="黑体" w:eastAsia="黑体"/>
                <w:bCs/>
              </w:rPr>
              <w:t>2.签订《国家公派出国留学协议书》，办理奖学金专用银行卡，办理《国际旅行健康证明书》等。</w:t>
            </w:r>
          </w:p>
          <w:p w14:paraId="20B2025E">
            <w:pPr>
              <w:keepNext w:val="0"/>
              <w:keepLines w:val="0"/>
              <w:pageBreakBefore w:val="0"/>
              <w:widowControl w:val="0"/>
              <w:kinsoku/>
              <w:wordWrap/>
              <w:overflowPunct/>
              <w:topLinePunct w:val="0"/>
              <w:autoSpaceDE/>
              <w:autoSpaceDN/>
              <w:bidi w:val="0"/>
              <w:adjustRightInd/>
              <w:snapToGrid w:val="0"/>
              <w:textAlignment w:val="auto"/>
              <w:rPr>
                <w:rFonts w:ascii="黑体" w:eastAsia="黑体"/>
                <w:bCs/>
              </w:rPr>
            </w:pPr>
            <w:r>
              <w:rPr>
                <w:rFonts w:hint="eastAsia" w:ascii="黑体" w:eastAsia="黑体"/>
                <w:bCs/>
              </w:rPr>
              <w:t>3.通过教育部留学服务中心办理机票预订等派出手续。</w:t>
            </w:r>
          </w:p>
        </w:tc>
        <w:tc>
          <w:tcPr>
            <w:tcW w:w="3827" w:type="dxa"/>
          </w:tcPr>
          <w:p w14:paraId="51D3E8CA">
            <w:pPr>
              <w:keepNext w:val="0"/>
              <w:keepLines w:val="0"/>
              <w:pageBreakBefore w:val="0"/>
              <w:kinsoku/>
              <w:wordWrap/>
              <w:overflowPunct/>
              <w:topLinePunct w:val="0"/>
              <w:autoSpaceDE/>
              <w:autoSpaceDN/>
              <w:bidi w:val="0"/>
              <w:snapToGrid w:val="0"/>
              <w:jc w:val="left"/>
              <w:textAlignment w:val="auto"/>
              <w:rPr>
                <w:rFonts w:ascii="黑体" w:eastAsia="黑体"/>
                <w:bCs/>
              </w:rPr>
            </w:pPr>
            <w:r>
              <w:rPr>
                <w:rFonts w:hint="eastAsia" w:ascii="黑体" w:eastAsia="黑体"/>
                <w:bCs/>
              </w:rPr>
              <w:t>详见《出国留学人员须知》</w:t>
            </w:r>
          </w:p>
        </w:tc>
      </w:tr>
      <w:tr w14:paraId="0150B1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20" w:hRule="atLeast"/>
          <w:jc w:val="center"/>
        </w:trPr>
        <w:tc>
          <w:tcPr>
            <w:tcW w:w="440" w:type="dxa"/>
            <w:vAlign w:val="center"/>
          </w:tcPr>
          <w:p w14:paraId="7F683451">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ascii="黑体" w:eastAsia="黑体"/>
                <w:bCs/>
              </w:rPr>
              <w:t>6</w:t>
            </w:r>
          </w:p>
        </w:tc>
        <w:tc>
          <w:tcPr>
            <w:tcW w:w="1246" w:type="dxa"/>
            <w:vMerge w:val="continue"/>
            <w:vAlign w:val="center"/>
          </w:tcPr>
          <w:p w14:paraId="3C28264F">
            <w:pPr>
              <w:keepNext w:val="0"/>
              <w:keepLines w:val="0"/>
              <w:pageBreakBefore w:val="0"/>
              <w:kinsoku/>
              <w:wordWrap/>
              <w:overflowPunct/>
              <w:topLinePunct w:val="0"/>
              <w:autoSpaceDE/>
              <w:autoSpaceDN/>
              <w:bidi w:val="0"/>
              <w:snapToGrid w:val="0"/>
              <w:jc w:val="center"/>
              <w:textAlignment w:val="auto"/>
              <w:rPr>
                <w:rFonts w:ascii="黑体" w:eastAsia="黑体"/>
                <w:bCs/>
              </w:rPr>
            </w:pPr>
          </w:p>
        </w:tc>
        <w:tc>
          <w:tcPr>
            <w:tcW w:w="1276" w:type="dxa"/>
            <w:vAlign w:val="center"/>
          </w:tcPr>
          <w:p w14:paraId="413CA607">
            <w:pPr>
              <w:keepNext w:val="0"/>
              <w:keepLines w:val="0"/>
              <w:pageBreakBefore w:val="0"/>
              <w:kinsoku/>
              <w:wordWrap/>
              <w:overflowPunct/>
              <w:topLinePunct w:val="0"/>
              <w:autoSpaceDE/>
              <w:autoSpaceDN/>
              <w:bidi w:val="0"/>
              <w:snapToGrid w:val="0"/>
              <w:jc w:val="center"/>
              <w:textAlignment w:val="auto"/>
              <w:rPr>
                <w:rFonts w:ascii="黑体" w:eastAsia="黑体"/>
                <w:bCs/>
              </w:rPr>
            </w:pPr>
            <w:r>
              <w:rPr>
                <w:rFonts w:hint="eastAsia" w:ascii="黑体" w:eastAsia="黑体"/>
                <w:bCs/>
              </w:rPr>
              <w:t>派出</w:t>
            </w:r>
          </w:p>
        </w:tc>
        <w:tc>
          <w:tcPr>
            <w:tcW w:w="3119" w:type="dxa"/>
            <w:vAlign w:val="center"/>
          </w:tcPr>
          <w:p w14:paraId="1BC15049">
            <w:pPr>
              <w:keepNext w:val="0"/>
              <w:keepLines w:val="0"/>
              <w:pageBreakBefore w:val="0"/>
              <w:kinsoku/>
              <w:wordWrap/>
              <w:overflowPunct/>
              <w:topLinePunct w:val="0"/>
              <w:autoSpaceDE/>
              <w:autoSpaceDN/>
              <w:bidi w:val="0"/>
              <w:snapToGrid w:val="0"/>
              <w:jc w:val="left"/>
              <w:textAlignment w:val="auto"/>
              <w:rPr>
                <w:rFonts w:ascii="黑体" w:eastAsia="黑体"/>
                <w:bCs/>
              </w:rPr>
            </w:pPr>
            <w:r>
              <w:rPr>
                <w:rFonts w:hint="eastAsia" w:ascii="黑体" w:eastAsia="黑体"/>
                <w:bCs/>
              </w:rPr>
              <w:t>留学人员自抵达朝鲜后10日内，按照</w:t>
            </w:r>
            <w:r>
              <w:rPr>
                <w:rFonts w:hint="eastAsia" w:ascii="黑体" w:eastAsia="黑体"/>
                <w:bCs/>
                <w:u w:val="none"/>
              </w:rPr>
              <w:t>中国驻朝鲜大使馆</w:t>
            </w:r>
            <w:r>
              <w:rPr>
                <w:rFonts w:hint="eastAsia" w:ascii="黑体" w:eastAsia="黑体"/>
                <w:bCs/>
              </w:rPr>
              <w:t>要求办理报到手续。</w:t>
            </w:r>
          </w:p>
        </w:tc>
        <w:tc>
          <w:tcPr>
            <w:tcW w:w="3827" w:type="dxa"/>
          </w:tcPr>
          <w:p w14:paraId="0C1801AD">
            <w:pPr>
              <w:keepNext w:val="0"/>
              <w:keepLines w:val="0"/>
              <w:pageBreakBefore w:val="0"/>
              <w:kinsoku/>
              <w:wordWrap/>
              <w:overflowPunct/>
              <w:topLinePunct w:val="0"/>
              <w:autoSpaceDE/>
              <w:autoSpaceDN/>
              <w:bidi w:val="0"/>
              <w:snapToGrid w:val="0"/>
              <w:jc w:val="left"/>
              <w:textAlignment w:val="auto"/>
              <w:rPr>
                <w:rFonts w:ascii="黑体" w:eastAsia="黑体"/>
                <w:bCs/>
              </w:rPr>
            </w:pPr>
          </w:p>
        </w:tc>
      </w:tr>
    </w:tbl>
    <w:p w14:paraId="0AC49AE1">
      <w:pPr>
        <w:pageBreakBefore w:val="0"/>
        <w:kinsoku/>
        <w:wordWrap/>
        <w:overflowPunct/>
        <w:topLinePunct w:val="0"/>
        <w:autoSpaceDE/>
        <w:autoSpaceDN/>
        <w:bidi w:val="0"/>
        <w:textAlignment w:val="auto"/>
        <w:rPr>
          <w:rFonts w:hint="default" w:ascii="黑体" w:hAnsi="黑体" w:eastAsia="黑体"/>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0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MS Mincho">
    <w:panose1 w:val="02020609040205080304"/>
    <w:charset w:val="80"/>
    <w:family w:val="modern"/>
    <w:pitch w:val="default"/>
    <w:sig w:usb0="A00002BF" w:usb1="68C7FCFB" w:usb2="00000010" w:usb3="00000000" w:csb0="4002009F" w:csb1="DFD70000"/>
  </w:font>
  <w:font w:name="仿宋_GB2312">
    <w:panose1 w:val="02010609030101010101"/>
    <w:charset w:val="86"/>
    <w:family w:val="auto"/>
    <w:pitch w:val="default"/>
    <w:sig w:usb0="00000001" w:usb1="080E0000" w:usb2="00000000" w:usb3="00000000" w:csb0="00040000" w:csb1="00000000"/>
  </w:font>
  <w:font w:name="Helvetica">
    <w:altName w:val="Liberation Sans"/>
    <w:panose1 w:val="020B0604020202030204"/>
    <w:charset w:val="00"/>
    <w:family w:val="swiss"/>
    <w:pitch w:val="default"/>
    <w:sig w:usb0="00000000" w:usb1="00000000" w:usb2="00000000" w:usb3="00000000" w:csb0="000001FF" w:csb1="00000000"/>
  </w:font>
  <w:font w:name="Liberation Sans">
    <w:panose1 w:val="020B0604020202020204"/>
    <w:charset w:val="00"/>
    <w:family w:val="auto"/>
    <w:pitch w:val="default"/>
    <w:sig w:usb0="A00002AF" w:usb1="5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0D6"/>
    <w:rsid w:val="00006E17"/>
    <w:rsid w:val="0003698E"/>
    <w:rsid w:val="00090F60"/>
    <w:rsid w:val="00091A00"/>
    <w:rsid w:val="000C7C92"/>
    <w:rsid w:val="000D0244"/>
    <w:rsid w:val="000F5747"/>
    <w:rsid w:val="00115C0C"/>
    <w:rsid w:val="001827D0"/>
    <w:rsid w:val="001921F9"/>
    <w:rsid w:val="00192AE9"/>
    <w:rsid w:val="001A72C0"/>
    <w:rsid w:val="001A79A1"/>
    <w:rsid w:val="001C1A51"/>
    <w:rsid w:val="00203419"/>
    <w:rsid w:val="002045B8"/>
    <w:rsid w:val="00204D08"/>
    <w:rsid w:val="0020778F"/>
    <w:rsid w:val="002149D8"/>
    <w:rsid w:val="00216C25"/>
    <w:rsid w:val="00220714"/>
    <w:rsid w:val="00263E49"/>
    <w:rsid w:val="0026704F"/>
    <w:rsid w:val="00276023"/>
    <w:rsid w:val="002764AF"/>
    <w:rsid w:val="00276CC9"/>
    <w:rsid w:val="00297D33"/>
    <w:rsid w:val="002C3369"/>
    <w:rsid w:val="002E1941"/>
    <w:rsid w:val="002E28C3"/>
    <w:rsid w:val="002E77A1"/>
    <w:rsid w:val="002F4208"/>
    <w:rsid w:val="00346DB7"/>
    <w:rsid w:val="00385035"/>
    <w:rsid w:val="003955FE"/>
    <w:rsid w:val="00395696"/>
    <w:rsid w:val="003E4B6D"/>
    <w:rsid w:val="00403CDA"/>
    <w:rsid w:val="00407724"/>
    <w:rsid w:val="00451050"/>
    <w:rsid w:val="004678FD"/>
    <w:rsid w:val="00481564"/>
    <w:rsid w:val="00494D67"/>
    <w:rsid w:val="00495305"/>
    <w:rsid w:val="004A241B"/>
    <w:rsid w:val="004C57C5"/>
    <w:rsid w:val="004F6424"/>
    <w:rsid w:val="004F72C4"/>
    <w:rsid w:val="0050417F"/>
    <w:rsid w:val="00524491"/>
    <w:rsid w:val="00536FD3"/>
    <w:rsid w:val="00572C61"/>
    <w:rsid w:val="00582615"/>
    <w:rsid w:val="005831F7"/>
    <w:rsid w:val="0059143A"/>
    <w:rsid w:val="005971F1"/>
    <w:rsid w:val="005B6D5F"/>
    <w:rsid w:val="005E6768"/>
    <w:rsid w:val="00603C53"/>
    <w:rsid w:val="00616245"/>
    <w:rsid w:val="00616466"/>
    <w:rsid w:val="006266C6"/>
    <w:rsid w:val="00693798"/>
    <w:rsid w:val="006B61E1"/>
    <w:rsid w:val="006C34DF"/>
    <w:rsid w:val="006C5820"/>
    <w:rsid w:val="00702A65"/>
    <w:rsid w:val="007037CD"/>
    <w:rsid w:val="0072245B"/>
    <w:rsid w:val="00732F01"/>
    <w:rsid w:val="0074319C"/>
    <w:rsid w:val="0076197A"/>
    <w:rsid w:val="007A43C1"/>
    <w:rsid w:val="007E72FC"/>
    <w:rsid w:val="0083062D"/>
    <w:rsid w:val="00832B30"/>
    <w:rsid w:val="00853852"/>
    <w:rsid w:val="00862F1A"/>
    <w:rsid w:val="008637A5"/>
    <w:rsid w:val="00870A83"/>
    <w:rsid w:val="008914AA"/>
    <w:rsid w:val="008A35AD"/>
    <w:rsid w:val="008A44F1"/>
    <w:rsid w:val="008C032D"/>
    <w:rsid w:val="008E21AD"/>
    <w:rsid w:val="008E253C"/>
    <w:rsid w:val="008F78A6"/>
    <w:rsid w:val="00920175"/>
    <w:rsid w:val="0093291C"/>
    <w:rsid w:val="00936BC7"/>
    <w:rsid w:val="009543CB"/>
    <w:rsid w:val="00970755"/>
    <w:rsid w:val="009A1820"/>
    <w:rsid w:val="009A5925"/>
    <w:rsid w:val="009D2ED6"/>
    <w:rsid w:val="009D76AC"/>
    <w:rsid w:val="009E7DE8"/>
    <w:rsid w:val="00A0477C"/>
    <w:rsid w:val="00A234C5"/>
    <w:rsid w:val="00A32A14"/>
    <w:rsid w:val="00A37C06"/>
    <w:rsid w:val="00A665C2"/>
    <w:rsid w:val="00A76736"/>
    <w:rsid w:val="00A842B6"/>
    <w:rsid w:val="00AA6184"/>
    <w:rsid w:val="00AB5857"/>
    <w:rsid w:val="00AD236F"/>
    <w:rsid w:val="00AF6278"/>
    <w:rsid w:val="00B076A1"/>
    <w:rsid w:val="00B23CF1"/>
    <w:rsid w:val="00B314CE"/>
    <w:rsid w:val="00B4243C"/>
    <w:rsid w:val="00B42A46"/>
    <w:rsid w:val="00B44C84"/>
    <w:rsid w:val="00B46A6E"/>
    <w:rsid w:val="00B6362D"/>
    <w:rsid w:val="00B761AF"/>
    <w:rsid w:val="00B92465"/>
    <w:rsid w:val="00B97A4B"/>
    <w:rsid w:val="00BD4879"/>
    <w:rsid w:val="00C335F1"/>
    <w:rsid w:val="00C42EB9"/>
    <w:rsid w:val="00C46556"/>
    <w:rsid w:val="00CA0F38"/>
    <w:rsid w:val="00CA64B0"/>
    <w:rsid w:val="00CC0891"/>
    <w:rsid w:val="00CC1BD1"/>
    <w:rsid w:val="00D12378"/>
    <w:rsid w:val="00D34711"/>
    <w:rsid w:val="00D5651E"/>
    <w:rsid w:val="00D76C66"/>
    <w:rsid w:val="00D908D6"/>
    <w:rsid w:val="00DA541A"/>
    <w:rsid w:val="00DC40CE"/>
    <w:rsid w:val="00DD5A47"/>
    <w:rsid w:val="00DD60D6"/>
    <w:rsid w:val="00DE481A"/>
    <w:rsid w:val="00DF6D43"/>
    <w:rsid w:val="00E51CB1"/>
    <w:rsid w:val="00E97FE0"/>
    <w:rsid w:val="00EC3E5D"/>
    <w:rsid w:val="00ED2869"/>
    <w:rsid w:val="00EE4F24"/>
    <w:rsid w:val="00EF30F0"/>
    <w:rsid w:val="00F12C8D"/>
    <w:rsid w:val="00F12EF3"/>
    <w:rsid w:val="00F17955"/>
    <w:rsid w:val="00F30F70"/>
    <w:rsid w:val="00F40CC1"/>
    <w:rsid w:val="00FA1A67"/>
    <w:rsid w:val="00FC2C93"/>
    <w:rsid w:val="00FD1803"/>
    <w:rsid w:val="00FE18A9"/>
    <w:rsid w:val="2CB277FC"/>
    <w:rsid w:val="324C2BA5"/>
    <w:rsid w:val="45D84536"/>
    <w:rsid w:val="47FF6893"/>
    <w:rsid w:val="57BF9B55"/>
    <w:rsid w:val="5CB230EC"/>
    <w:rsid w:val="6F460137"/>
    <w:rsid w:val="6FBF33C8"/>
    <w:rsid w:val="7BFE1549"/>
    <w:rsid w:val="B5EB1E25"/>
    <w:rsid w:val="EB7EF1AE"/>
    <w:rsid w:val="EC776E4A"/>
    <w:rsid w:val="ED8E056B"/>
    <w:rsid w:val="F7BF5F9F"/>
    <w:rsid w:val="F7FB8E68"/>
    <w:rsid w:val="FB176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240" w:after="240"/>
      <w:ind w:firstLine="480"/>
      <w:jc w:val="left"/>
    </w:pPr>
    <w:rPr>
      <w:rFonts w:ascii="宋体" w:hAnsi="宋体" w:cs="宋体"/>
      <w:kern w:val="0"/>
      <w:sz w:val="24"/>
      <w:szCs w:val="24"/>
    </w:rPr>
  </w:style>
  <w:style w:type="paragraph" w:styleId="6">
    <w:name w:val="Title"/>
    <w:basedOn w:val="1"/>
    <w:next w:val="1"/>
    <w:link w:val="10"/>
    <w:qFormat/>
    <w:uiPriority w:val="0"/>
    <w:pPr>
      <w:spacing w:before="240" w:after="60"/>
      <w:jc w:val="center"/>
      <w:outlineLvl w:val="0"/>
    </w:pPr>
    <w:rPr>
      <w:rFonts w:ascii="Cambria" w:hAnsi="Cambria" w:cs="Times New Roman"/>
      <w:b/>
      <w:bCs/>
      <w:sz w:val="32"/>
      <w:szCs w:val="32"/>
    </w:rPr>
  </w:style>
  <w:style w:type="character" w:styleId="9">
    <w:name w:val="Hyperlink"/>
    <w:basedOn w:val="8"/>
    <w:qFormat/>
    <w:uiPriority w:val="0"/>
    <w:rPr>
      <w:color w:val="0000FF"/>
      <w:u w:val="single"/>
    </w:rPr>
  </w:style>
  <w:style w:type="character" w:customStyle="1" w:styleId="10">
    <w:name w:val="标题 字符"/>
    <w:basedOn w:val="8"/>
    <w:link w:val="6"/>
    <w:qFormat/>
    <w:uiPriority w:val="0"/>
    <w:rPr>
      <w:rFonts w:ascii="Cambria" w:hAnsi="Cambria" w:eastAsia="宋体" w:cs="Times New Roman"/>
      <w:b/>
      <w:bCs/>
      <w:sz w:val="32"/>
      <w:szCs w:val="32"/>
    </w:rPr>
  </w:style>
  <w:style w:type="character" w:customStyle="1" w:styleId="11">
    <w:name w:val="批注框文本 字符"/>
    <w:basedOn w:val="8"/>
    <w:link w:val="2"/>
    <w:semiHidden/>
    <w:qFormat/>
    <w:uiPriority w:val="99"/>
    <w:rPr>
      <w:rFonts w:ascii="Calibri" w:hAnsi="Calibri" w:eastAsia="宋体" w:cs="Calibri"/>
      <w:sz w:val="18"/>
      <w:szCs w:val="18"/>
    </w:rPr>
  </w:style>
  <w:style w:type="character" w:customStyle="1" w:styleId="12">
    <w:name w:val="页眉 字符"/>
    <w:basedOn w:val="8"/>
    <w:link w:val="4"/>
    <w:qFormat/>
    <w:uiPriority w:val="99"/>
    <w:rPr>
      <w:rFonts w:ascii="Calibri" w:hAnsi="Calibri" w:eastAsia="宋体" w:cs="Calibri"/>
      <w:sz w:val="18"/>
      <w:szCs w:val="18"/>
    </w:rPr>
  </w:style>
  <w:style w:type="character" w:customStyle="1" w:styleId="13">
    <w:name w:val="页脚 字符"/>
    <w:basedOn w:val="8"/>
    <w:link w:val="3"/>
    <w:qFormat/>
    <w:uiPriority w:val="99"/>
    <w:rPr>
      <w:rFonts w:ascii="Calibri" w:hAnsi="Calibri" w:eastAsia="宋体" w:cs="Calibri"/>
      <w:sz w:val="18"/>
      <w:szCs w:val="18"/>
    </w:rPr>
  </w:style>
  <w:style w:type="paragraph" w:customStyle="1" w:styleId="14">
    <w:name w:val="列出段落1"/>
    <w:basedOn w:val="1"/>
    <w:qFormat/>
    <w:uiPriority w:val="34"/>
    <w:pPr>
      <w:ind w:firstLine="420" w:firstLineChars="200"/>
    </w:p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302</Words>
  <Characters>1726</Characters>
  <Lines>14</Lines>
  <Paragraphs>4</Paragraphs>
  <TotalTime>11</TotalTime>
  <ScaleCrop>false</ScaleCrop>
  <LinksUpToDate>false</LinksUpToDate>
  <CharactersWithSpaces>2024</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2018-11-20T22:00:00Z</dcterms:created>
  <dc:creator>lrn</dc:creator>
  <cp:lastModifiedBy>马智民</cp:lastModifiedBy>
  <cp:lastPrinted>2019-12-07T23:18:00Z</cp:lastPrinted>
  <dcterms:modified xsi:type="dcterms:W3CDTF">2025-12-03T10:11:49Z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05E507A4DC416277AB682969E818ACE0_42</vt:lpwstr>
  </property>
</Properties>
</file>